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D6D0" w14:textId="77777777" w:rsidR="0026000D" w:rsidRPr="00036D4E" w:rsidRDefault="009233E3" w:rsidP="00AA15BC">
      <w:pPr>
        <w:pStyle w:val="MainTitle"/>
        <w:spacing w:line="192" w:lineRule="auto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1C396CE5" wp14:editId="62134D07">
            <wp:simplePos x="0" y="0"/>
            <wp:positionH relativeFrom="margin">
              <wp:posOffset>2730500</wp:posOffset>
            </wp:positionH>
            <wp:positionV relativeFrom="margin">
              <wp:posOffset>6223000</wp:posOffset>
            </wp:positionV>
            <wp:extent cx="1645923" cy="1120142"/>
            <wp:effectExtent l="0" t="0" r="0" b="0"/>
            <wp:wrapNone/>
            <wp:docPr id="100037" name="Picture 100037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09373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EAB" w:rsidRPr="00036D4E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97EFC75" wp14:editId="37A7D219">
                <wp:simplePos x="0" y="0"/>
                <wp:positionH relativeFrom="column">
                  <wp:posOffset>-449179</wp:posOffset>
                </wp:positionH>
                <wp:positionV relativeFrom="paragraph">
                  <wp:posOffset>4879</wp:posOffset>
                </wp:positionV>
                <wp:extent cx="7772400" cy="2903622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903622"/>
                          <a:chOff x="3877" y="0"/>
                          <a:chExt cx="7772400" cy="2903622"/>
                        </a:xfrm>
                      </wpg:grpSpPr>
                      <wpg:grpSp>
                        <wpg:cNvPr id="404157178" name="Group 2"/>
                        <wpg:cNvGrpSpPr/>
                        <wpg:grpSpPr>
                          <a:xfrm>
                            <a:off x="3877" y="0"/>
                            <a:ext cx="7772400" cy="962794"/>
                            <a:chOff x="3877" y="0"/>
                            <a:chExt cx="7772400" cy="962794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77" y="327660"/>
                              <a:ext cx="7772400" cy="63513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1580" y="0"/>
                              <a:ext cx="241300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FA025D" w14:textId="77777777" w:rsidR="00A95ADA" w:rsidRPr="00B27C10" w:rsidRDefault="009A2EAB" w:rsidP="00036D4E">
                                <w:pPr>
                                  <w:pStyle w:val="SectionedHeader"/>
                                </w:pPr>
                                <w:r>
                                  <w:t>PCORI Fees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2273" y="360091"/>
                            <a:ext cx="2413000" cy="2543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AC979F" w14:textId="77777777" w:rsidR="00431B1C" w:rsidRDefault="009A2EAB" w:rsidP="005F25FD">
                              <w:pPr>
                                <w:pStyle w:val="BulletList"/>
                                <w:numPr>
                                  <w:ilvl w:val="0"/>
                                  <w:numId w:val="8"/>
                                </w:numPr>
                              </w:pPr>
                              <w:r w:rsidRPr="002E210C">
                                <w:t>The ACA imposes PCORI fees on health insurers and self-insured plan sponsors.</w:t>
                              </w:r>
                            </w:p>
                            <w:p w14:paraId="53416D1A" w14:textId="77777777" w:rsidR="0024208C" w:rsidRPr="00526C74" w:rsidRDefault="009A2EAB" w:rsidP="00431B1C">
                              <w:pPr>
                                <w:pStyle w:val="BulletList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t xml:space="preserve">The fee </w:t>
                              </w:r>
                              <w:r w:rsidR="00837917">
                                <w:t xml:space="preserve">originally </w:t>
                              </w:r>
                              <w:r>
                                <w:t>applie</w:t>
                              </w:r>
                              <w:r w:rsidR="00837917">
                                <w:t>d</w:t>
                              </w:r>
                              <w:r>
                                <w:t xml:space="preserve"> to policy or plan years ending on or after Oct. 1, 2012, and before Oct. 1, 2019.</w:t>
                              </w:r>
                              <w:r w:rsidR="00837917">
                                <w:t xml:space="preserve"> </w:t>
                              </w:r>
                              <w:r w:rsidR="00837917" w:rsidRPr="00837917">
                                <w:rPr>
                                  <w:b/>
                                </w:rPr>
                                <w:t>However, it was extended to apply through the 2029 fiscal year</w:t>
                              </w:r>
                              <w:r w:rsidR="00837917">
                                <w:t>.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EFC75" id="Group 7" o:spid="_x0000_s1026" style="position:absolute;margin-left:-35.35pt;margin-top:.4pt;width:612pt;height:228.65pt;z-index:-251651072;mso-height-relative:margin" coordorigin="38" coordsize="77724,29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">
                <v:group id="Group 2" o:spid="_x0000_s1027" style="position:absolute;left:38;width:77724;height:9627" coordorigin="38" coordsize="77724,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38;top:3276;width:77724;height: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50215;width:24130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26FA025D" w14:textId="77777777" w:rsidR="00A95ADA" w:rsidRPr="00B27C10" w:rsidRDefault="009A2EAB" w:rsidP="00036D4E">
                          <w:pPr>
                            <w:pStyle w:val="SectionedHeader"/>
                          </w:pPr>
                          <w:r>
                            <w:t>PCORI Fees</w:t>
                          </w:r>
                        </w:p>
                      </w:txbxContent>
                    </v:textbox>
                  </v:shape>
                </v:group>
                <v:shape id="Text Box 2" o:spid="_x0000_s1030" type="#_x0000_t202" style="position:absolute;left:50222;top:3600;width:24130;height:2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7AC979F" w14:textId="77777777" w:rsidR="00431B1C" w:rsidRDefault="009A2EAB" w:rsidP="005F25FD">
                        <w:pPr>
                          <w:pStyle w:val="BulletList"/>
                          <w:numPr>
                            <w:ilvl w:val="0"/>
                            <w:numId w:val="8"/>
                          </w:numPr>
                        </w:pPr>
                        <w:r w:rsidRPr="002E210C">
                          <w:t>The ACA imposes PCORI fees on health insurers and self-insured plan sponsors.</w:t>
                        </w:r>
                      </w:p>
                      <w:p w14:paraId="53416D1A" w14:textId="77777777" w:rsidR="0024208C" w:rsidRPr="00526C74" w:rsidRDefault="009A2EAB" w:rsidP="00431B1C">
                        <w:pPr>
                          <w:pStyle w:val="BulletList"/>
                          <w:numPr>
                            <w:ilvl w:val="0"/>
                            <w:numId w:val="8"/>
                          </w:numPr>
                        </w:pPr>
                        <w:r>
                          <w:t xml:space="preserve">The fee </w:t>
                        </w:r>
                        <w:r w:rsidR="00837917">
                          <w:t xml:space="preserve">originally </w:t>
                        </w:r>
                        <w:r>
                          <w:t>applie</w:t>
                        </w:r>
                        <w:r w:rsidR="00837917">
                          <w:t>d</w:t>
                        </w:r>
                        <w:r>
                          <w:t xml:space="preserve"> to policy or plan years ending on or after Oct. 1, 2012, and before Oct. 1, 2019.</w:t>
                        </w:r>
                        <w:r w:rsidR="00837917">
                          <w:t xml:space="preserve"> </w:t>
                        </w:r>
                        <w:r w:rsidR="00837917" w:rsidRPr="00837917">
                          <w:rPr>
                            <w:b/>
                          </w:rPr>
                          <w:t>However, it was extended to apply through the 2029 fiscal year</w:t>
                        </w:r>
                        <w:r w:rsidR="00837917"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Coverage Subject to</w:t>
      </w:r>
      <w:r w:rsidR="00E1040F">
        <w:t xml:space="preserve"> </w:t>
      </w:r>
      <w:r w:rsidR="00431B1C">
        <w:t>PCORI Fees</w:t>
      </w:r>
    </w:p>
    <w:p w14:paraId="3B56B52A" w14:textId="77777777" w:rsidR="009233E3" w:rsidRPr="005B0F71" w:rsidRDefault="009A2EAB" w:rsidP="009233E3">
      <w:pPr>
        <w:pStyle w:val="BodyText"/>
      </w:pPr>
      <w:r w:rsidRPr="005B0F71">
        <w:t>The Affordable Care Act (ACA) imposes a fee on health insurance issuers and pl</w:t>
      </w:r>
      <w:r w:rsidRPr="005B0F71">
        <w:t>an sponsors of self-insured health plans to help fund the Patient-Centered Outcomes Research Institute. The fee, called the Patient-Centered Outcomes Research Institute (PCORI) fee, is calculated based on the average number of lives covered under the polic</w:t>
      </w:r>
      <w:r w:rsidRPr="005B0F71">
        <w:t>y or plan.</w:t>
      </w:r>
    </w:p>
    <w:p w14:paraId="0870F0AA" w14:textId="77777777" w:rsidR="00E95E6B" w:rsidRPr="00E95E6B" w:rsidRDefault="009A2EAB" w:rsidP="009233E3">
      <w:pPr>
        <w:pStyle w:val="BodyText"/>
        <w:spacing w:before="200"/>
      </w:pPr>
      <w:r>
        <w:t xml:space="preserve">A </w:t>
      </w:r>
      <w:r w:rsidRPr="0007474F">
        <w:t>federal</w:t>
      </w:r>
      <w:r w:rsidRPr="002D5D76">
        <w:t xml:space="preserve"> </w:t>
      </w:r>
      <w:hyperlink r:id="rId10" w:history="1">
        <w:r w:rsidRPr="002D5D76">
          <w:rPr>
            <w:rStyle w:val="Hyperlink"/>
          </w:rPr>
          <w:t>spending bill</w:t>
        </w:r>
      </w:hyperlink>
      <w:r w:rsidRPr="0007474F">
        <w:t xml:space="preserve"> </w:t>
      </w:r>
      <w:r>
        <w:t xml:space="preserve">enacted at the end of 2019 </w:t>
      </w:r>
      <w:r w:rsidRPr="00084E5A">
        <w:rPr>
          <w:b/>
        </w:rPr>
        <w:t>extended the PCORI fees for an additional 10 years</w:t>
      </w:r>
      <w:r>
        <w:t xml:space="preserve">. As a result, these fees will continue to apply for the </w:t>
      </w:r>
      <w:r w:rsidRPr="00084E5A">
        <w:rPr>
          <w:b/>
        </w:rPr>
        <w:t>2020-</w:t>
      </w:r>
      <w:r w:rsidRPr="00084E5A">
        <w:rPr>
          <w:b/>
        </w:rPr>
        <w:t>2029 fiscal years</w:t>
      </w:r>
      <w:r>
        <w:t>.</w:t>
      </w:r>
      <w:r w:rsidR="009233E3" w:rsidRPr="00AC506A">
        <w:t xml:space="preserve"> The PCORI fee is filed using </w:t>
      </w:r>
      <w:hyperlink r:id="rId11" w:history="1">
        <w:r w:rsidR="009233E3" w:rsidRPr="00AC506A">
          <w:rPr>
            <w:rStyle w:val="Hyperlink"/>
          </w:rPr>
          <w:t>IRS Form 720</w:t>
        </w:r>
      </w:hyperlink>
      <w:r w:rsidR="009233E3" w:rsidRPr="00AC506A">
        <w:t xml:space="preserve">, </w:t>
      </w:r>
      <w:r w:rsidR="009233E3" w:rsidRPr="00AC506A">
        <w:rPr>
          <w:i/>
        </w:rPr>
        <w:t>Quarterly Federal Excise Tax Return</w:t>
      </w:r>
      <w:r w:rsidR="009233E3" w:rsidRPr="00AC506A">
        <w:t xml:space="preserve">. Although Form 720 is a quarterly return, for PCORI fees, Form 720 must be filed annually only, by </w:t>
      </w:r>
      <w:r w:rsidR="009233E3" w:rsidRPr="00AC506A">
        <w:rPr>
          <w:b/>
        </w:rPr>
        <w:t>July 31 of each year</w:t>
      </w:r>
      <w:r w:rsidR="009233E3" w:rsidRPr="00AC506A">
        <w:t>.</w:t>
      </w:r>
      <w:r w:rsidR="009233E3" w:rsidRPr="008F6F04">
        <w:rPr>
          <w:noProof/>
        </w:rPr>
        <w:t xml:space="preserve"> </w:t>
      </w:r>
      <w:r w:rsidR="00431B1C" w:rsidRPr="008F6F04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C33C866" wp14:editId="299BB730">
                <wp:simplePos x="0" y="0"/>
                <wp:positionH relativeFrom="page">
                  <wp:posOffset>31750</wp:posOffset>
                </wp:positionH>
                <wp:positionV relativeFrom="page">
                  <wp:posOffset>5486400</wp:posOffset>
                </wp:positionV>
                <wp:extent cx="7740650" cy="282702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0650" cy="2827020"/>
                          <a:chOff x="31586" y="0"/>
                          <a:chExt cx="7740814" cy="2827251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31586" y="0"/>
                            <a:ext cx="7740814" cy="960135"/>
                            <a:chOff x="31586" y="0"/>
                            <a:chExt cx="7740814" cy="96013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586" y="327633"/>
                              <a:ext cx="7740814" cy="63250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1580" y="0"/>
                              <a:ext cx="2527384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16B1EA" w14:textId="77777777" w:rsidR="00677DD4" w:rsidRPr="00B27C10" w:rsidRDefault="009A2EAB" w:rsidP="00036D4E">
                                <w:pPr>
                                  <w:pStyle w:val="SectionedHeader"/>
                                </w:pPr>
                                <w:r>
                                  <w:t>Reporting &amp; Paying the Fee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wpg:grp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353291"/>
                            <a:ext cx="2413000" cy="247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760A14" w14:textId="77777777" w:rsidR="00B143CD" w:rsidRPr="000446B4" w:rsidRDefault="009A2EAB" w:rsidP="00B143CD">
                              <w:pPr>
                                <w:pStyle w:val="H-BulletList"/>
                                <w:numPr>
                                  <w:ilvl w:val="0"/>
                                  <w:numId w:val="13"/>
                                </w:numPr>
                                <w:spacing w:before="0" w:after="60"/>
                              </w:pPr>
                              <w:r>
                                <w:t xml:space="preserve">The </w:t>
                              </w:r>
                              <w:r w:rsidRPr="000446B4">
                                <w:t>IRS</w:t>
                              </w:r>
                              <w:r>
                                <w:t>’</w:t>
                              </w:r>
                              <w:r w:rsidRPr="000446B4">
                                <w:t xml:space="preserve"> </w:t>
                              </w:r>
                              <w:hyperlink r:id="rId12" w:history="1">
                                <w:r w:rsidRPr="000446B4">
                                  <w:rPr>
                                    <w:rStyle w:val="Hyperlink"/>
                                    <w:szCs w:val="22"/>
                                  </w:rPr>
                                  <w:t>instructions for filing Form 720</w:t>
                                </w:r>
                              </w:hyperlink>
                              <w:r w:rsidRPr="000446B4">
                                <w:t xml:space="preserve"> include information on reporting and paying PCORI fees.</w:t>
                              </w:r>
                            </w:p>
                            <w:p w14:paraId="396D78C8" w14:textId="77777777" w:rsidR="00677DD4" w:rsidRDefault="009A2EAB" w:rsidP="00B143CD">
                              <w:pPr>
                                <w:pStyle w:val="BulletList"/>
                                <w:numPr>
                                  <w:ilvl w:val="0"/>
                                  <w:numId w:val="13"/>
                                </w:numPr>
                              </w:pPr>
                              <w:r w:rsidRPr="000446B4">
                                <w:t xml:space="preserve">The payment, paid through the </w:t>
                              </w:r>
                              <w:hyperlink r:id="rId13" w:history="1">
                                <w:r w:rsidRPr="000446B4">
                                  <w:rPr>
                                    <w:rStyle w:val="Hyperlink"/>
                                    <w:szCs w:val="22"/>
                                  </w:rPr>
                                  <w:t>Electronic Federal Tax Payment System</w:t>
                                </w:r>
                              </w:hyperlink>
                              <w:r w:rsidRPr="000446B4">
                                <w:t xml:space="preserve"> (EFTPS), should be applied to the second qua</w:t>
                              </w:r>
                              <w:r w:rsidRPr="000446B4">
                                <w:t>rter (in EFTPS, select “Q2” for the Quarter under Tax Period on the "Business Tax Payment" page).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33C866" id="Group 10" o:spid="_x0000_s1031" style="position:absolute;left:0;text-align:left;margin-left:2.5pt;margin-top:6in;width:609.5pt;height:222.6pt;z-index:-251655168;mso-position-horizontal-relative:page;mso-position-vertical-relative:page;mso-width-relative:margin" coordorigin="315" coordsize="77408,28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">
                <v:group id="Group 8" o:spid="_x0000_s1032" style="position:absolute;left:315;width:77409;height:9601" coordorigin="315" coordsize="77408,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11" o:spid="_x0000_s1033" type="#_x0000_t75" style="position:absolute;left:315;top:3276;width:77409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">
                    <v:imagedata r:id="rId9" o:title=""/>
                  </v:shape>
                  <v:shape id="Text Box 2" o:spid="_x0000_s1034" type="#_x0000_t202" style="position:absolute;left:50215;width:25274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6C16B1EA" w14:textId="77777777" w:rsidR="00677DD4" w:rsidRPr="00B27C10" w:rsidRDefault="009A2EAB" w:rsidP="00036D4E">
                          <w:pPr>
                            <w:pStyle w:val="SectionedHeader"/>
                          </w:pPr>
                          <w:r>
                            <w:t>Reporting &amp; Paying the Fee</w:t>
                          </w:r>
                        </w:p>
                      </w:txbxContent>
                    </v:textbox>
                  </v:shape>
                </v:group>
                <v:shape id="Text Box 2" o:spid="_x0000_s1035" type="#_x0000_t202" style="position:absolute;left:50292;top:3532;width:24130;height:24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6760A14" w14:textId="77777777" w:rsidR="00B143CD" w:rsidRPr="000446B4" w:rsidRDefault="009A2EAB" w:rsidP="00B143CD">
                        <w:pPr>
                          <w:pStyle w:val="H-BulletList"/>
                          <w:numPr>
                            <w:ilvl w:val="0"/>
                            <w:numId w:val="13"/>
                          </w:numPr>
                          <w:spacing w:before="0" w:after="60"/>
                        </w:pPr>
                        <w:r>
                          <w:t xml:space="preserve">The </w:t>
                        </w:r>
                        <w:r w:rsidRPr="000446B4">
                          <w:t>IRS</w:t>
                        </w:r>
                        <w:r>
                          <w:t>’</w:t>
                        </w:r>
                        <w:r w:rsidRPr="000446B4">
                          <w:t xml:space="preserve"> </w:t>
                        </w:r>
                        <w:hyperlink r:id="rId14" w:history="1">
                          <w:r w:rsidRPr="000446B4">
                            <w:rPr>
                              <w:rStyle w:val="Hyperlink"/>
                              <w:szCs w:val="22"/>
                            </w:rPr>
                            <w:t>instructions for filing Form 720</w:t>
                          </w:r>
                        </w:hyperlink>
                        <w:r w:rsidRPr="000446B4">
                          <w:t xml:space="preserve"> include information on reporting and paying PCORI fees.</w:t>
                        </w:r>
                      </w:p>
                      <w:p w14:paraId="396D78C8" w14:textId="77777777" w:rsidR="00677DD4" w:rsidRDefault="009A2EAB" w:rsidP="00B143CD">
                        <w:pPr>
                          <w:pStyle w:val="BulletList"/>
                          <w:numPr>
                            <w:ilvl w:val="0"/>
                            <w:numId w:val="13"/>
                          </w:numPr>
                        </w:pPr>
                        <w:r w:rsidRPr="000446B4">
                          <w:t xml:space="preserve">The payment, paid through the </w:t>
                        </w:r>
                        <w:hyperlink r:id="rId15" w:history="1">
                          <w:r w:rsidRPr="000446B4">
                            <w:rPr>
                              <w:rStyle w:val="Hyperlink"/>
                              <w:szCs w:val="22"/>
                            </w:rPr>
                            <w:t>Electronic Federal Tax Payment System</w:t>
                          </w:r>
                        </w:hyperlink>
                        <w:r w:rsidRPr="000446B4">
                          <w:t xml:space="preserve"> (EFTPS), should be applied to the second qua</w:t>
                        </w:r>
                        <w:r w:rsidRPr="000446B4">
                          <w:t>rter (in EFTPS, select “Q2” for the Quarter under Tax Period on the "Business Tax Payment" page).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FCD6C84" w14:textId="77777777" w:rsidR="00500B71" w:rsidRPr="008F6F04" w:rsidRDefault="009A2EAB" w:rsidP="00431B1C">
      <w:pPr>
        <w:pStyle w:val="BodyText"/>
        <w:sectPr w:rsidR="00500B71" w:rsidRPr="008F6F04" w:rsidSect="008A7E71">
          <w:headerReference w:type="default" r:id="rId16"/>
          <w:footerReference w:type="default" r:id="rId17"/>
          <w:pgSz w:w="12240" w:h="15840"/>
          <w:pgMar w:top="3946" w:right="4680" w:bottom="144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F86E0" wp14:editId="1576226F">
                <wp:simplePos x="0" y="0"/>
                <wp:positionH relativeFrom="margin">
                  <wp:posOffset>-21590</wp:posOffset>
                </wp:positionH>
                <wp:positionV relativeFrom="page">
                  <wp:posOffset>5697382</wp:posOffset>
                </wp:positionV>
                <wp:extent cx="4361180" cy="2498725"/>
                <wp:effectExtent l="0" t="0" r="1270" b="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180" cy="2498725"/>
                        </a:xfrm>
                        <a:prstGeom prst="rect">
                          <a:avLst/>
                        </a:prstGeom>
                        <a:solidFill>
                          <a:srgbClr val="CE2C43">
                            <a:alpha val="1000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5176" w14:textId="77777777" w:rsidR="008C01A9" w:rsidRPr="00036D4E" w:rsidRDefault="009A2EAB" w:rsidP="00A95ADA">
                            <w:pPr>
                              <w:pStyle w:val="LR-Heading"/>
                            </w:pPr>
                            <w:r w:rsidRPr="00036D4E">
                              <w:t>Links and Resources</w:t>
                            </w:r>
                          </w:p>
                          <w:p w14:paraId="528104D7" w14:textId="77777777" w:rsidR="00431B1C" w:rsidRDefault="009A2EAB" w:rsidP="00431B1C">
                            <w:pPr>
                              <w:pStyle w:val="BodyText"/>
                            </w:pPr>
                            <w:r>
                              <w:t>Please see the following IRS resources for more information on the ACA’s PCORI fees:</w:t>
                            </w:r>
                          </w:p>
                          <w:p w14:paraId="3AA3984D" w14:textId="77777777" w:rsidR="00431B1C" w:rsidRDefault="009A2EAB" w:rsidP="00431B1C">
                            <w:pPr>
                              <w:pStyle w:val="BulletList"/>
                              <w:numPr>
                                <w:ilvl w:val="0"/>
                                <w:numId w:val="9"/>
                              </w:numPr>
                            </w:pPr>
                            <w:hyperlink r:id="rId18" w:history="1">
                              <w:r w:rsidRPr="00DA66E0">
                                <w:rPr>
                                  <w:rStyle w:val="Hyperlink"/>
                                </w:rPr>
                                <w:t>Final regulations</w:t>
                              </w:r>
                            </w:hyperlink>
                            <w:r>
                              <w:t xml:space="preserve"> on the PCORI fees</w:t>
                            </w:r>
                          </w:p>
                          <w:p w14:paraId="3116A6E7" w14:textId="77777777" w:rsidR="00431B1C" w:rsidRDefault="009A2EAB" w:rsidP="00431B1C">
                            <w:pPr>
                              <w:pStyle w:val="BulletList"/>
                              <w:numPr>
                                <w:ilvl w:val="0"/>
                                <w:numId w:val="9"/>
                              </w:numPr>
                            </w:pPr>
                            <w:hyperlink r:id="rId19" w:history="1">
                              <w:r w:rsidRPr="00DA66E0">
                                <w:rPr>
                                  <w:rStyle w:val="Hyperlink"/>
                                </w:rPr>
                                <w:t>PCORI Fee Overview Page</w:t>
                              </w:r>
                            </w:hyperlink>
                          </w:p>
                          <w:p w14:paraId="4D0DB918" w14:textId="77777777" w:rsidR="00431B1C" w:rsidRDefault="009A2EAB" w:rsidP="00431B1C">
                            <w:pPr>
                              <w:pStyle w:val="BulletList"/>
                              <w:numPr>
                                <w:ilvl w:val="0"/>
                                <w:numId w:val="9"/>
                              </w:numPr>
                            </w:pPr>
                            <w:hyperlink r:id="rId20" w:history="1">
                              <w:r w:rsidRPr="00DA66E0">
                                <w:rPr>
                                  <w:rStyle w:val="Hyperlink"/>
                                </w:rPr>
                                <w:t>PCORI Fee: Questions and Answers</w:t>
                              </w:r>
                            </w:hyperlink>
                          </w:p>
                          <w:p w14:paraId="2282AB02" w14:textId="77777777" w:rsidR="00431B1C" w:rsidRDefault="009A2EAB" w:rsidP="00431B1C">
                            <w:pPr>
                              <w:pStyle w:val="BulletList"/>
                              <w:numPr>
                                <w:ilvl w:val="0"/>
                                <w:numId w:val="9"/>
                              </w:numPr>
                            </w:pPr>
                            <w:hyperlink r:id="rId21" w:history="1">
                              <w:r w:rsidRPr="00DA66E0">
                                <w:rPr>
                                  <w:rStyle w:val="Hyperlink"/>
                                </w:rPr>
                                <w:t>IRS Form 720</w:t>
                              </w:r>
                            </w:hyperlink>
                            <w:r>
                              <w:t xml:space="preserve"> and </w:t>
                            </w:r>
                            <w:hyperlink r:id="rId22" w:history="1">
                              <w:r w:rsidRPr="00DA66E0">
                                <w:rPr>
                                  <w:rStyle w:val="Hyperlink"/>
                                </w:rPr>
                                <w:t>instructions</w:t>
                              </w:r>
                            </w:hyperlink>
                          </w:p>
                          <w:p w14:paraId="09E724AD" w14:textId="77777777" w:rsidR="008C01A9" w:rsidRDefault="009A2EAB" w:rsidP="00431B1C">
                            <w:pPr>
                              <w:pStyle w:val="BulletList"/>
                              <w:numPr>
                                <w:ilvl w:val="0"/>
                                <w:numId w:val="9"/>
                              </w:numPr>
                              <w:jc w:val="left"/>
                            </w:pPr>
                            <w:hyperlink r:id="rId23" w:history="1">
                              <w:r w:rsidR="00431B1C" w:rsidRPr="00DA66E0">
                                <w:rPr>
                                  <w:rStyle w:val="Hyperlink"/>
                                </w:rPr>
                                <w:t>PCORI Fee Due Dates and Applicable Rates</w:t>
                              </w:r>
                            </w:hyperlink>
                          </w:p>
                          <w:p w14:paraId="0376B620" w14:textId="77777777" w:rsidR="00431B1C" w:rsidRPr="007201D3" w:rsidRDefault="009A2EAB" w:rsidP="00431B1C">
                            <w:pPr>
                              <w:pStyle w:val="BulletList"/>
                              <w:numPr>
                                <w:ilvl w:val="0"/>
                                <w:numId w:val="9"/>
                              </w:numPr>
                              <w:jc w:val="left"/>
                            </w:pPr>
                            <w:r>
                              <w:t xml:space="preserve">A </w:t>
                            </w:r>
                            <w:r w:rsidRPr="0007474F">
                              <w:t>feder</w:t>
                            </w:r>
                            <w:r w:rsidRPr="0007474F">
                              <w:t>al</w:t>
                            </w:r>
                            <w:r w:rsidRPr="002D5D76">
                              <w:t xml:space="preserve"> </w:t>
                            </w:r>
                            <w:hyperlink r:id="rId24" w:history="1">
                              <w:r w:rsidRPr="002D5D76">
                                <w:rPr>
                                  <w:rStyle w:val="Hyperlink"/>
                                </w:rPr>
                                <w:t>spending bill</w:t>
                              </w:r>
                            </w:hyperlink>
                            <w:r w:rsidRPr="0007474F">
                              <w:t xml:space="preserve"> </w:t>
                            </w:r>
                            <w:r>
                              <w:t xml:space="preserve">enacted at the end of 2019 </w:t>
                            </w:r>
                            <w:r w:rsidRPr="00837917">
                              <w:t>extended the PCORI fees</w:t>
                            </w:r>
                            <w:r>
                              <w:t xml:space="preserve"> to apply for the 2020-2029 fiscal years.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86E0" id="Text Box 21" o:spid="_x0000_s1036" type="#_x0000_t202" style="position:absolute;left:0;text-align:left;margin-left:-1.7pt;margin-top:448.6pt;width:343.4pt;height:1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" fillcolor="#ce2c43" stroked="f" strokeweight="3pt">
                <v:fill opacity="6682f"/>
                <v:textbox inset=",0">
                  <w:txbxContent>
                    <w:p w14:paraId="464B5176" w14:textId="77777777" w:rsidR="008C01A9" w:rsidRPr="00036D4E" w:rsidRDefault="009A2EAB" w:rsidP="00A95ADA">
                      <w:pPr>
                        <w:pStyle w:val="LR-Heading"/>
                      </w:pPr>
                      <w:r w:rsidRPr="00036D4E">
                        <w:t>Links and Resources</w:t>
                      </w:r>
                    </w:p>
                    <w:p w14:paraId="528104D7" w14:textId="77777777" w:rsidR="00431B1C" w:rsidRDefault="009A2EAB" w:rsidP="00431B1C">
                      <w:pPr>
                        <w:pStyle w:val="BodyText"/>
                      </w:pPr>
                      <w:r>
                        <w:t>Please see the following IRS resources for more information on the ACA’s PCORI fees:</w:t>
                      </w:r>
                    </w:p>
                    <w:p w14:paraId="3AA3984D" w14:textId="77777777" w:rsidR="00431B1C" w:rsidRDefault="009A2EAB" w:rsidP="00431B1C">
                      <w:pPr>
                        <w:pStyle w:val="BulletList"/>
                        <w:numPr>
                          <w:ilvl w:val="0"/>
                          <w:numId w:val="9"/>
                        </w:numPr>
                      </w:pPr>
                      <w:hyperlink r:id="rId25" w:history="1">
                        <w:r w:rsidRPr="00DA66E0">
                          <w:rPr>
                            <w:rStyle w:val="Hyperlink"/>
                          </w:rPr>
                          <w:t>Final regulations</w:t>
                        </w:r>
                      </w:hyperlink>
                      <w:r>
                        <w:t xml:space="preserve"> on the PCORI fees</w:t>
                      </w:r>
                    </w:p>
                    <w:p w14:paraId="3116A6E7" w14:textId="77777777" w:rsidR="00431B1C" w:rsidRDefault="009A2EAB" w:rsidP="00431B1C">
                      <w:pPr>
                        <w:pStyle w:val="BulletList"/>
                        <w:numPr>
                          <w:ilvl w:val="0"/>
                          <w:numId w:val="9"/>
                        </w:numPr>
                      </w:pPr>
                      <w:hyperlink r:id="rId26" w:history="1">
                        <w:r w:rsidRPr="00DA66E0">
                          <w:rPr>
                            <w:rStyle w:val="Hyperlink"/>
                          </w:rPr>
                          <w:t>PCORI Fee Overview Page</w:t>
                        </w:r>
                      </w:hyperlink>
                    </w:p>
                    <w:p w14:paraId="4D0DB918" w14:textId="77777777" w:rsidR="00431B1C" w:rsidRDefault="009A2EAB" w:rsidP="00431B1C">
                      <w:pPr>
                        <w:pStyle w:val="BulletList"/>
                        <w:numPr>
                          <w:ilvl w:val="0"/>
                          <w:numId w:val="9"/>
                        </w:numPr>
                      </w:pPr>
                      <w:hyperlink r:id="rId27" w:history="1">
                        <w:r w:rsidRPr="00DA66E0">
                          <w:rPr>
                            <w:rStyle w:val="Hyperlink"/>
                          </w:rPr>
                          <w:t>PCORI Fee: Questions and Answers</w:t>
                        </w:r>
                      </w:hyperlink>
                    </w:p>
                    <w:p w14:paraId="2282AB02" w14:textId="77777777" w:rsidR="00431B1C" w:rsidRDefault="009A2EAB" w:rsidP="00431B1C">
                      <w:pPr>
                        <w:pStyle w:val="BulletList"/>
                        <w:numPr>
                          <w:ilvl w:val="0"/>
                          <w:numId w:val="9"/>
                        </w:numPr>
                      </w:pPr>
                      <w:hyperlink r:id="rId28" w:history="1">
                        <w:r w:rsidRPr="00DA66E0">
                          <w:rPr>
                            <w:rStyle w:val="Hyperlink"/>
                          </w:rPr>
                          <w:t>IRS Form 720</w:t>
                        </w:r>
                      </w:hyperlink>
                      <w:r>
                        <w:t xml:space="preserve"> and </w:t>
                      </w:r>
                      <w:hyperlink r:id="rId29" w:history="1">
                        <w:r w:rsidRPr="00DA66E0">
                          <w:rPr>
                            <w:rStyle w:val="Hyperlink"/>
                          </w:rPr>
                          <w:t>instructions</w:t>
                        </w:r>
                      </w:hyperlink>
                    </w:p>
                    <w:p w14:paraId="09E724AD" w14:textId="77777777" w:rsidR="008C01A9" w:rsidRDefault="009A2EAB" w:rsidP="00431B1C">
                      <w:pPr>
                        <w:pStyle w:val="BulletList"/>
                        <w:numPr>
                          <w:ilvl w:val="0"/>
                          <w:numId w:val="9"/>
                        </w:numPr>
                        <w:jc w:val="left"/>
                      </w:pPr>
                      <w:hyperlink r:id="rId30" w:history="1">
                        <w:r w:rsidR="00431B1C" w:rsidRPr="00DA66E0">
                          <w:rPr>
                            <w:rStyle w:val="Hyperlink"/>
                          </w:rPr>
                          <w:t>PCORI Fee Due Dates and Applicable Rates</w:t>
                        </w:r>
                      </w:hyperlink>
                    </w:p>
                    <w:p w14:paraId="0376B620" w14:textId="77777777" w:rsidR="00431B1C" w:rsidRPr="007201D3" w:rsidRDefault="009A2EAB" w:rsidP="00431B1C">
                      <w:pPr>
                        <w:pStyle w:val="BulletList"/>
                        <w:numPr>
                          <w:ilvl w:val="0"/>
                          <w:numId w:val="9"/>
                        </w:numPr>
                        <w:jc w:val="left"/>
                      </w:pPr>
                      <w:r>
                        <w:t xml:space="preserve">A </w:t>
                      </w:r>
                      <w:r w:rsidRPr="0007474F">
                        <w:t>feder</w:t>
                      </w:r>
                      <w:r w:rsidRPr="0007474F">
                        <w:t>al</w:t>
                      </w:r>
                      <w:r w:rsidRPr="002D5D76">
                        <w:t xml:space="preserve"> </w:t>
                      </w:r>
                      <w:hyperlink r:id="rId31" w:history="1">
                        <w:r w:rsidRPr="002D5D76">
                          <w:rPr>
                            <w:rStyle w:val="Hyperlink"/>
                          </w:rPr>
                          <w:t>spending bill</w:t>
                        </w:r>
                      </w:hyperlink>
                      <w:r w:rsidRPr="0007474F">
                        <w:t xml:space="preserve"> </w:t>
                      </w:r>
                      <w:r>
                        <w:t xml:space="preserve">enacted at the end of 2019 </w:t>
                      </w:r>
                      <w:r w:rsidRPr="00837917">
                        <w:t>extended the PCORI fees</w:t>
                      </w:r>
                      <w:r>
                        <w:t xml:space="preserve"> to apply for the 2020-2029 fiscal years.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9233E3" w:rsidRPr="00AC506A">
        <w:t xml:space="preserve">This ACA Overview includes a </w:t>
      </w:r>
      <w:hyperlink r:id="rId32" w:history="1">
        <w:r w:rsidR="009233E3" w:rsidRPr="00AC506A">
          <w:rPr>
            <w:rStyle w:val="Hyperlink"/>
          </w:rPr>
          <w:t>chart</w:t>
        </w:r>
      </w:hyperlink>
      <w:r w:rsidR="009233E3" w:rsidRPr="00AC506A">
        <w:t xml:space="preserve"> issued by the Internal Revenue Service (IRS) on the application of the PCORI fee to common types of health coverage or arrangements.</w:t>
      </w:r>
      <w:r w:rsidR="009233E3">
        <w:t xml:space="preserve"> Please contact AHT Insurance for more information.</w:t>
      </w:r>
      <w:r w:rsidR="000847AD" w:rsidRPr="008F6F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3B4BE" wp14:editId="3F09D49C">
                <wp:simplePos x="0" y="0"/>
                <wp:positionH relativeFrom="margin">
                  <wp:posOffset>-98425</wp:posOffset>
                </wp:positionH>
                <wp:positionV relativeFrom="margin">
                  <wp:posOffset>5986087</wp:posOffset>
                </wp:positionV>
                <wp:extent cx="4344670" cy="59499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B0566B" w14:textId="77777777" w:rsidR="00E6115F" w:rsidRPr="000847AD" w:rsidRDefault="009A2EAB" w:rsidP="00E6115F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0847A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036D4E">
                              <w:rPr>
                                <w:b/>
                                <w:color w:val="CE2C43"/>
                                <w:sz w:val="20"/>
                                <w:szCs w:val="20"/>
                              </w:rPr>
                              <w:t>AHT 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B4BE" id="Text Box 24" o:spid="_x0000_s1037" type="#_x0000_t202" style="position:absolute;left:0;text-align:left;margin-left:-7.75pt;margin-top:471.35pt;width:342.1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" filled="f" stroked="f" strokeweight=".5pt">
                <v:textbox>
                  <w:txbxContent>
                    <w:p w14:paraId="30B0566B" w14:textId="77777777" w:rsidR="00E6115F" w:rsidRPr="000847AD" w:rsidRDefault="009A2EAB" w:rsidP="00E6115F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0847A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036D4E">
                        <w:rPr>
                          <w:b/>
                          <w:color w:val="CE2C43"/>
                          <w:sz w:val="20"/>
                          <w:szCs w:val="20"/>
                        </w:rPr>
                        <w:t>AHT Insurance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6C8FE16" w14:textId="77777777" w:rsidR="00C84C66" w:rsidRPr="008A7E71" w:rsidRDefault="009A2EAB" w:rsidP="00C84C66">
      <w:pPr>
        <w:pStyle w:val="MainTitle"/>
      </w:pPr>
      <w:r>
        <w:lastRenderedPageBreak/>
        <w:t>Coverage Subject to</w:t>
      </w:r>
      <w:r w:rsidR="00B143CD">
        <w:t xml:space="preserve"> </w:t>
      </w:r>
      <w:r w:rsidR="00431B1C">
        <w:t>PCORI Fees</w:t>
      </w:r>
    </w:p>
    <w:tbl>
      <w:tblPr>
        <w:tblStyle w:val="TableGrid"/>
        <w:tblW w:w="10790" w:type="dxa"/>
        <w:jc w:val="center"/>
        <w:tblLook w:val="0480" w:firstRow="0" w:lastRow="0" w:firstColumn="1" w:lastColumn="0" w:noHBand="0" w:noVBand="1"/>
      </w:tblPr>
      <w:tblGrid>
        <w:gridCol w:w="3596"/>
        <w:gridCol w:w="3234"/>
        <w:gridCol w:w="3960"/>
      </w:tblGrid>
      <w:tr w:rsidR="003E094E" w14:paraId="01D146E0" w14:textId="77777777" w:rsidTr="00CA2B37">
        <w:trPr>
          <w:cantSplit/>
          <w:trHeight w:val="549"/>
          <w:jc w:val="center"/>
        </w:trPr>
        <w:tc>
          <w:tcPr>
            <w:tcW w:w="359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E2C43"/>
            <w:vAlign w:val="center"/>
          </w:tcPr>
          <w:p w14:paraId="57C86ED4" w14:textId="77777777" w:rsidR="009233E3" w:rsidRPr="00C84C66" w:rsidRDefault="009A2EAB" w:rsidP="009233E3">
            <w:pPr>
              <w:pStyle w:val="TableHeader"/>
            </w:pPr>
            <w:r>
              <w:t>Type of Coverage or Arrangement</w:t>
            </w:r>
          </w:p>
        </w:tc>
        <w:tc>
          <w:tcPr>
            <w:tcW w:w="3234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E2C43"/>
            <w:vAlign w:val="center"/>
          </w:tcPr>
          <w:p w14:paraId="3F5096E1" w14:textId="77777777" w:rsidR="009233E3" w:rsidRDefault="009A2EAB" w:rsidP="009233E3">
            <w:pPr>
              <w:pStyle w:val="TableHeader"/>
            </w:pPr>
            <w:r>
              <w:t>Subject to the Fee?</w:t>
            </w:r>
          </w:p>
        </w:tc>
        <w:tc>
          <w:tcPr>
            <w:tcW w:w="396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E2C43"/>
            <w:vAlign w:val="center"/>
          </w:tcPr>
          <w:p w14:paraId="11B903BE" w14:textId="77777777" w:rsidR="009233E3" w:rsidRDefault="009A2EAB" w:rsidP="009233E3">
            <w:pPr>
              <w:pStyle w:val="TableHeader"/>
            </w:pPr>
            <w:r>
              <w:t xml:space="preserve">Person Responsible for Reporting </w:t>
            </w:r>
            <w:r w:rsidR="00CA2B37">
              <w:t>and</w:t>
            </w:r>
            <w:r>
              <w:t xml:space="preserve"> Paying the Fee</w:t>
            </w:r>
          </w:p>
        </w:tc>
      </w:tr>
      <w:tr w:rsidR="003E094E" w14:paraId="13143D3C" w14:textId="77777777" w:rsidTr="00CA2B37">
        <w:trPr>
          <w:cantSplit/>
          <w:jc w:val="center"/>
        </w:trPr>
        <w:tc>
          <w:tcPr>
            <w:tcW w:w="3596" w:type="dxa"/>
            <w:tcBorders>
              <w:top w:val="nil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5498B15A" w14:textId="77777777" w:rsidR="009233E3" w:rsidRPr="009233E3" w:rsidRDefault="009A2EAB" w:rsidP="009233E3">
            <w:pPr>
              <w:pStyle w:val="T-Text"/>
            </w:pPr>
            <w:r w:rsidRPr="009233E3">
              <w:t xml:space="preserve">Accident and health </w:t>
            </w:r>
            <w:r w:rsidRPr="009233E3">
              <w:t>coverage or major medical insurance coverage</w:t>
            </w:r>
          </w:p>
        </w:tc>
        <w:tc>
          <w:tcPr>
            <w:tcW w:w="3234" w:type="dxa"/>
            <w:tcBorders>
              <w:top w:val="nil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00D8A976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Yes</w:t>
            </w:r>
          </w:p>
        </w:tc>
        <w:tc>
          <w:tcPr>
            <w:tcW w:w="3960" w:type="dxa"/>
            <w:tcBorders>
              <w:top w:val="nil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12E9BD3B" w14:textId="77777777" w:rsidR="009233E3" w:rsidRPr="00AC506A" w:rsidRDefault="009A2EAB" w:rsidP="00CA2B37">
            <w:pPr>
              <w:pStyle w:val="Bullet"/>
              <w:spacing w:before="80" w:after="80"/>
              <w:ind w:left="514"/>
              <w:jc w:val="left"/>
            </w:pPr>
            <w:r w:rsidRPr="00AC506A">
              <w:t>The issuer, if insured</w:t>
            </w:r>
          </w:p>
          <w:p w14:paraId="2C0D3E1A" w14:textId="77777777" w:rsidR="009233E3" w:rsidRPr="00AC506A" w:rsidRDefault="009A2EAB" w:rsidP="00CA2B37">
            <w:pPr>
              <w:pStyle w:val="Bullet"/>
              <w:spacing w:before="80" w:after="80"/>
              <w:ind w:left="514"/>
              <w:jc w:val="left"/>
            </w:pPr>
            <w:r w:rsidRPr="00AC506A">
              <w:t>The plan sponsor, if self-insured</w:t>
            </w:r>
          </w:p>
        </w:tc>
      </w:tr>
      <w:tr w:rsidR="003E094E" w14:paraId="23AE9D2F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0A7DD119" w14:textId="77777777" w:rsidR="009233E3" w:rsidRPr="009233E3" w:rsidRDefault="009A2EAB" w:rsidP="009233E3">
            <w:pPr>
              <w:pStyle w:val="T-Text"/>
            </w:pPr>
            <w:r w:rsidRPr="009233E3">
              <w:t>Retiree-only health or major medical coverage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17CB60F2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Yes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7052F03A" w14:textId="77777777" w:rsidR="009233E3" w:rsidRPr="00AC506A" w:rsidRDefault="009A2EAB" w:rsidP="00CA2B37">
            <w:pPr>
              <w:pStyle w:val="Bullet"/>
              <w:spacing w:before="80" w:after="80"/>
              <w:ind w:left="514"/>
              <w:jc w:val="left"/>
            </w:pPr>
            <w:r w:rsidRPr="00AC506A">
              <w:t>The issuer, if insured</w:t>
            </w:r>
          </w:p>
          <w:p w14:paraId="38D6CE21" w14:textId="77777777" w:rsidR="009233E3" w:rsidRPr="00AC506A" w:rsidRDefault="009A2EAB" w:rsidP="00CA2B37">
            <w:pPr>
              <w:pStyle w:val="Bullet"/>
              <w:spacing w:before="80" w:after="80"/>
              <w:ind w:left="514"/>
              <w:jc w:val="left"/>
            </w:pPr>
            <w:r w:rsidRPr="00AC506A">
              <w:t>The plan sponsor, if self-insured</w:t>
            </w:r>
          </w:p>
        </w:tc>
      </w:tr>
      <w:tr w:rsidR="003E094E" w14:paraId="5C7C8BE8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7CD0DBB4" w14:textId="77777777" w:rsidR="009233E3" w:rsidRPr="009233E3" w:rsidRDefault="009A2EAB" w:rsidP="009233E3">
            <w:pPr>
              <w:pStyle w:val="T-Text"/>
            </w:pPr>
            <w:r w:rsidRPr="009233E3">
              <w:t xml:space="preserve">Health or major medical coverage </w:t>
            </w:r>
            <w:r w:rsidRPr="009233E3">
              <w:t>under multiple policies or plans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73897B1A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Yes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7C44983E" w14:textId="77777777" w:rsidR="009233E3" w:rsidRPr="00AC506A" w:rsidRDefault="009A2EAB" w:rsidP="00CA2B37">
            <w:pPr>
              <w:pStyle w:val="Bullet"/>
              <w:spacing w:before="80" w:after="80"/>
              <w:ind w:left="514"/>
              <w:jc w:val="left"/>
            </w:pPr>
            <w:r w:rsidRPr="00AC506A">
              <w:t>Each issuer or plan sponsor</w:t>
            </w:r>
          </w:p>
          <w:p w14:paraId="6E916FD7" w14:textId="77777777" w:rsidR="009233E3" w:rsidRPr="00AC506A" w:rsidRDefault="009A2EAB" w:rsidP="00CA2B37">
            <w:pPr>
              <w:pStyle w:val="Bullet"/>
              <w:spacing w:before="80" w:after="80"/>
              <w:ind w:left="514"/>
              <w:jc w:val="left"/>
            </w:pPr>
            <w:r w:rsidRPr="00AC506A">
              <w:t>See below for special rules for coverage under multiple applicable self-insured health plans</w:t>
            </w:r>
          </w:p>
        </w:tc>
      </w:tr>
      <w:tr w:rsidR="003E094E" w14:paraId="7B7BDFC3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3110266A" w14:textId="77777777" w:rsidR="009233E3" w:rsidRPr="009233E3" w:rsidRDefault="009A2EAB" w:rsidP="009233E3">
            <w:pPr>
              <w:pStyle w:val="T-Text"/>
            </w:pPr>
            <w:r w:rsidRPr="009233E3">
              <w:t>COBRA coverage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539E6FE5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Yes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003797A9" w14:textId="77777777" w:rsidR="009233E3" w:rsidRPr="00AC506A" w:rsidRDefault="009A2EAB" w:rsidP="00CA2B37">
            <w:pPr>
              <w:pStyle w:val="Bullet"/>
              <w:spacing w:before="80" w:after="80"/>
              <w:ind w:left="514"/>
              <w:jc w:val="left"/>
            </w:pPr>
            <w:r w:rsidRPr="00AC506A">
              <w:t>The issuer, if insured</w:t>
            </w:r>
          </w:p>
          <w:p w14:paraId="6FC1DE59" w14:textId="77777777" w:rsidR="009233E3" w:rsidRPr="00AC506A" w:rsidRDefault="009A2EAB" w:rsidP="00CA2B37">
            <w:pPr>
              <w:pStyle w:val="Bullet"/>
              <w:spacing w:before="80" w:after="80"/>
              <w:ind w:left="514"/>
              <w:jc w:val="left"/>
            </w:pPr>
            <w:r w:rsidRPr="00AC506A">
              <w:t>The plan sponsor, if self-insured</w:t>
            </w:r>
          </w:p>
        </w:tc>
      </w:tr>
      <w:tr w:rsidR="003E094E" w14:paraId="13E1AE2F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5A442590" w14:textId="77777777" w:rsidR="009233E3" w:rsidRPr="009233E3" w:rsidRDefault="009A2EAB" w:rsidP="009233E3">
            <w:pPr>
              <w:pStyle w:val="T-Text"/>
            </w:pPr>
            <w:r w:rsidRPr="009233E3">
              <w:t xml:space="preserve">Health </w:t>
            </w:r>
            <w:r w:rsidRPr="009233E3">
              <w:t>Reimbursement Arrangement (HRA), including a premium-only HRA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0361EA8B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Yes, unless the arrangement qualifies as an excepted benefit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5E6F992E" w14:textId="77777777" w:rsidR="009233E3" w:rsidRPr="00AC506A" w:rsidRDefault="009A2EAB" w:rsidP="00CA2B37">
            <w:pPr>
              <w:pStyle w:val="Bullet"/>
              <w:spacing w:before="80" w:after="80"/>
              <w:ind w:left="514"/>
              <w:jc w:val="left"/>
            </w:pPr>
            <w:r w:rsidRPr="00AC506A">
              <w:t>The plan sponsor</w:t>
            </w:r>
          </w:p>
          <w:p w14:paraId="7A546CDF" w14:textId="77777777" w:rsidR="009233E3" w:rsidRPr="00AC506A" w:rsidRDefault="009A2EAB" w:rsidP="00CA2B37">
            <w:pPr>
              <w:pStyle w:val="Bullet"/>
              <w:spacing w:before="80" w:after="80"/>
              <w:ind w:left="514"/>
              <w:jc w:val="left"/>
            </w:pPr>
            <w:r w:rsidRPr="00AC506A">
              <w:t>See below for special rules for coverage under multiple applicable self-insured health plans and special counting ru</w:t>
            </w:r>
            <w:r w:rsidRPr="00AC506A">
              <w:t>les for HRAs</w:t>
            </w:r>
          </w:p>
        </w:tc>
      </w:tr>
      <w:tr w:rsidR="003E094E" w14:paraId="679B5517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53E40EA0" w14:textId="77777777" w:rsidR="009233E3" w:rsidRPr="009233E3" w:rsidRDefault="009A2EAB" w:rsidP="009233E3">
            <w:pPr>
              <w:pStyle w:val="T-Text"/>
            </w:pPr>
            <w:r w:rsidRPr="009233E3">
              <w:t>Flexible Spending Arrangement (FSA)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6F11E9E3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Yes, unless the arrangement qualifies as an excepted benefit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1D469A89" w14:textId="77777777" w:rsidR="009233E3" w:rsidRPr="00AC506A" w:rsidRDefault="009A2EAB" w:rsidP="00CA2B37">
            <w:pPr>
              <w:pStyle w:val="Bullet"/>
              <w:spacing w:before="80" w:after="80"/>
              <w:ind w:left="514"/>
              <w:jc w:val="left"/>
            </w:pPr>
            <w:r w:rsidRPr="00AC506A">
              <w:t>The plan sponsor</w:t>
            </w:r>
          </w:p>
          <w:p w14:paraId="38A330FE" w14:textId="77777777" w:rsidR="009233E3" w:rsidRPr="00AC506A" w:rsidRDefault="009A2EAB" w:rsidP="00CA2B37">
            <w:pPr>
              <w:pStyle w:val="Bullet"/>
              <w:spacing w:before="80" w:after="80"/>
              <w:ind w:left="514"/>
              <w:jc w:val="left"/>
            </w:pPr>
            <w:r w:rsidRPr="00AC506A">
              <w:t>See below for special counting rules for FSAs</w:t>
            </w:r>
          </w:p>
        </w:tc>
      </w:tr>
      <w:tr w:rsidR="003E094E" w14:paraId="084E2B20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4D1C44DF" w14:textId="77777777" w:rsidR="009233E3" w:rsidRPr="009233E3" w:rsidRDefault="009A2EAB" w:rsidP="009233E3">
            <w:pPr>
              <w:pStyle w:val="T-Text"/>
            </w:pPr>
            <w:r w:rsidRPr="009233E3">
              <w:t xml:space="preserve">State and local government health or major medical plans for employees </w:t>
            </w:r>
            <w:r w:rsidRPr="009233E3">
              <w:t>and/or retirees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508AFFF8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Yes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7F8AA894" w14:textId="77777777" w:rsidR="009233E3" w:rsidRPr="00AC506A" w:rsidRDefault="009A2EAB" w:rsidP="00CA2B37">
            <w:pPr>
              <w:pStyle w:val="Bullet"/>
              <w:spacing w:before="80" w:after="80"/>
              <w:ind w:left="514"/>
              <w:jc w:val="left"/>
            </w:pPr>
            <w:r w:rsidRPr="00AC506A">
              <w:t>The issuer, if insured</w:t>
            </w:r>
          </w:p>
          <w:p w14:paraId="05722DA8" w14:textId="77777777" w:rsidR="009233E3" w:rsidRPr="00AC506A" w:rsidRDefault="009A2EAB" w:rsidP="00CA2B37">
            <w:pPr>
              <w:pStyle w:val="Bullet"/>
              <w:spacing w:before="80" w:after="80"/>
              <w:ind w:left="514"/>
              <w:jc w:val="left"/>
            </w:pPr>
            <w:r w:rsidRPr="00AC506A">
              <w:t>The plan sponsor, if self-insured</w:t>
            </w:r>
          </w:p>
        </w:tc>
      </w:tr>
      <w:tr w:rsidR="003E094E" w14:paraId="09F308FD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39D91ABB" w14:textId="77777777" w:rsidR="009233E3" w:rsidRPr="009233E3" w:rsidRDefault="009A2EAB" w:rsidP="009233E3">
            <w:pPr>
              <w:pStyle w:val="T-Text"/>
            </w:pPr>
            <w:r w:rsidRPr="009233E3">
              <w:t>Stand-alone dental or vision coverage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58E342F0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No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218BC436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N/A</w:t>
            </w:r>
          </w:p>
        </w:tc>
      </w:tr>
      <w:tr w:rsidR="003E094E" w14:paraId="1E484600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4BAC7C52" w14:textId="77777777" w:rsidR="009233E3" w:rsidRPr="009233E3" w:rsidRDefault="009A2EAB" w:rsidP="009233E3">
            <w:pPr>
              <w:pStyle w:val="T-Text"/>
            </w:pPr>
            <w:r w:rsidRPr="009233E3">
              <w:t xml:space="preserve">Group insurance policy designed and issued specifically to cover primarily employees working and residing outside the United </w:t>
            </w:r>
            <w:r w:rsidRPr="009233E3">
              <w:t>States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332A2849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No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735851D5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N/A</w:t>
            </w:r>
          </w:p>
        </w:tc>
      </w:tr>
      <w:tr w:rsidR="003E094E" w14:paraId="61A44008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55B23DF3" w14:textId="77777777" w:rsidR="009233E3" w:rsidRPr="009233E3" w:rsidRDefault="009A2EAB" w:rsidP="009233E3">
            <w:pPr>
              <w:pStyle w:val="T-Text"/>
            </w:pPr>
            <w:r w:rsidRPr="009233E3">
              <w:lastRenderedPageBreak/>
              <w:t>Self-insured health plan designed specifically to cover primarily employees who are working and residing outside the United States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31FF65D9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No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2DF3161E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N/A</w:t>
            </w:r>
          </w:p>
        </w:tc>
      </w:tr>
      <w:tr w:rsidR="003E094E" w14:paraId="0C2C00F0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75396984" w14:textId="77777777" w:rsidR="009233E3" w:rsidRPr="009233E3" w:rsidRDefault="009A2EAB" w:rsidP="009233E3">
            <w:pPr>
              <w:pStyle w:val="T-Text"/>
            </w:pPr>
            <w:r w:rsidRPr="009233E3">
              <w:t>Medicare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3691DB66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No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149AA802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N/A</w:t>
            </w:r>
          </w:p>
        </w:tc>
      </w:tr>
      <w:tr w:rsidR="003E094E" w14:paraId="4522525C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0F2CB11C" w14:textId="77777777" w:rsidR="009233E3" w:rsidRPr="009233E3" w:rsidRDefault="009A2EAB" w:rsidP="009233E3">
            <w:pPr>
              <w:pStyle w:val="T-Text"/>
            </w:pPr>
            <w:r w:rsidRPr="009233E3">
              <w:t>Medicaid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4093424F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No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6C63A0F2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N/A</w:t>
            </w:r>
          </w:p>
        </w:tc>
      </w:tr>
      <w:tr w:rsidR="003E094E" w14:paraId="2E215B25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50BE635F" w14:textId="77777777" w:rsidR="009233E3" w:rsidRPr="009233E3" w:rsidRDefault="009A2EAB" w:rsidP="009233E3">
            <w:pPr>
              <w:pStyle w:val="T-Text"/>
            </w:pPr>
            <w:r w:rsidRPr="009233E3">
              <w:t>Children’s Health Insurance Program (CHIP)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32F70615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No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49B133E9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N/A</w:t>
            </w:r>
          </w:p>
        </w:tc>
      </w:tr>
      <w:tr w:rsidR="003E094E" w14:paraId="65B1A70D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50B26AB0" w14:textId="77777777" w:rsidR="009233E3" w:rsidRPr="009233E3" w:rsidRDefault="009A2EAB" w:rsidP="009233E3">
            <w:pPr>
              <w:pStyle w:val="T-Text"/>
            </w:pPr>
            <w:r w:rsidRPr="009233E3">
              <w:t xml:space="preserve">Military </w:t>
            </w:r>
            <w:r w:rsidRPr="009233E3">
              <w:t>health plans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67B3D061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No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784E0F66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N/A</w:t>
            </w:r>
          </w:p>
        </w:tc>
      </w:tr>
      <w:tr w:rsidR="003E094E" w14:paraId="2EA538E6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6B62863F" w14:textId="77777777" w:rsidR="009233E3" w:rsidRPr="009233E3" w:rsidRDefault="009A2EAB" w:rsidP="009233E3">
            <w:pPr>
              <w:pStyle w:val="T-Text"/>
            </w:pPr>
            <w:r w:rsidRPr="009233E3">
              <w:t>Certain Indian tribal government health plans (as defined in Section 4(d) of the Indian Health Care Improvement Act)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3DC507A3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No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4AC2CFA8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N/A</w:t>
            </w:r>
          </w:p>
        </w:tc>
      </w:tr>
      <w:tr w:rsidR="003E094E" w14:paraId="6CB656F5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1384935E" w14:textId="77777777" w:rsidR="009233E3" w:rsidRPr="009233E3" w:rsidRDefault="009A2EAB" w:rsidP="009233E3">
            <w:pPr>
              <w:pStyle w:val="T-Text"/>
            </w:pPr>
            <w:r w:rsidRPr="009233E3">
              <w:t>Health Savings Arrangements (HSAs)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60163F62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No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508A8252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N/A</w:t>
            </w:r>
          </w:p>
        </w:tc>
      </w:tr>
      <w:tr w:rsidR="003E094E" w14:paraId="7DDE1030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2A32E6AC" w14:textId="77777777" w:rsidR="009233E3" w:rsidRPr="009233E3" w:rsidRDefault="009A2EAB" w:rsidP="009233E3">
            <w:pPr>
              <w:pStyle w:val="T-Text"/>
            </w:pPr>
            <w:r w:rsidRPr="009233E3">
              <w:t>Archer Medical Savings Accounts (MSAs)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7DC81D16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No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0110D593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N/A</w:t>
            </w:r>
          </w:p>
        </w:tc>
      </w:tr>
      <w:tr w:rsidR="003E094E" w14:paraId="10D90DFE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4B1FEC96" w14:textId="77777777" w:rsidR="009233E3" w:rsidRPr="009233E3" w:rsidRDefault="009A2EAB" w:rsidP="009233E3">
            <w:pPr>
              <w:pStyle w:val="T-Text"/>
            </w:pPr>
            <w:r w:rsidRPr="009233E3">
              <w:t xml:space="preserve">Hospital </w:t>
            </w:r>
            <w:r w:rsidRPr="009233E3">
              <w:t>indemnity or specified illness benefits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22C41222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No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56F85B72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N/A</w:t>
            </w:r>
          </w:p>
        </w:tc>
      </w:tr>
      <w:tr w:rsidR="003E094E" w14:paraId="205B9420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71FA7A20" w14:textId="77777777" w:rsidR="009233E3" w:rsidRPr="009233E3" w:rsidRDefault="009A2EAB" w:rsidP="009233E3">
            <w:pPr>
              <w:pStyle w:val="T-Text"/>
            </w:pPr>
            <w:r w:rsidRPr="009233E3">
              <w:t>Stop-loss or indemnity reinsurance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312C07F3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No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0139C588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N/A</w:t>
            </w:r>
          </w:p>
        </w:tc>
      </w:tr>
      <w:tr w:rsidR="003E094E" w14:paraId="447735FB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744E5F6C" w14:textId="77777777" w:rsidR="009233E3" w:rsidRPr="009233E3" w:rsidRDefault="009A2EAB" w:rsidP="009233E3">
            <w:pPr>
              <w:pStyle w:val="T-Text"/>
            </w:pPr>
            <w:r w:rsidRPr="009233E3">
              <w:t>Employee assistance programs (EAPs), disease management programs or wellness programs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7DAFA8BB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 xml:space="preserve">No, provided the program does not provide significant benefits in the </w:t>
            </w:r>
            <w:r w:rsidRPr="00AC506A">
              <w:t>nature of medical care or treatment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56E90525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N/A</w:t>
            </w:r>
          </w:p>
        </w:tc>
      </w:tr>
      <w:tr w:rsidR="003E094E" w14:paraId="0EFB3A02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2C5EBA59" w14:textId="77777777" w:rsidR="009233E3" w:rsidRPr="009233E3" w:rsidRDefault="009A2EAB" w:rsidP="009233E3">
            <w:pPr>
              <w:pStyle w:val="T-Text"/>
            </w:pPr>
            <w:r w:rsidRPr="009233E3">
              <w:t>Accident-only coverage (including accidental death and dismemberment)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491FABD8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No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5F104A32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N/A</w:t>
            </w:r>
          </w:p>
        </w:tc>
      </w:tr>
      <w:tr w:rsidR="003E094E" w14:paraId="48651084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56ED0A09" w14:textId="77777777" w:rsidR="009233E3" w:rsidRPr="009233E3" w:rsidRDefault="009A2EAB" w:rsidP="009233E3">
            <w:pPr>
              <w:pStyle w:val="T-Text"/>
            </w:pPr>
            <w:r w:rsidRPr="009233E3">
              <w:t>Disability income coverage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5EA6D4A8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No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4139259F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N/A</w:t>
            </w:r>
          </w:p>
        </w:tc>
      </w:tr>
      <w:tr w:rsidR="003E094E" w14:paraId="1C54170E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683763EE" w14:textId="77777777" w:rsidR="009233E3" w:rsidRPr="009233E3" w:rsidRDefault="009A2EAB" w:rsidP="009233E3">
            <w:pPr>
              <w:pStyle w:val="T-Text"/>
            </w:pPr>
            <w:r w:rsidRPr="009233E3">
              <w:t>Automobile medical payment coverage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30018258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No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44F23E7D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N/A</w:t>
            </w:r>
          </w:p>
        </w:tc>
      </w:tr>
      <w:tr w:rsidR="003E094E" w14:paraId="2CC63149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61053F2A" w14:textId="77777777" w:rsidR="009233E3" w:rsidRPr="009233E3" w:rsidRDefault="009A2EAB" w:rsidP="009233E3">
            <w:pPr>
              <w:pStyle w:val="T-Text"/>
            </w:pPr>
            <w:r w:rsidRPr="009233E3">
              <w:t>Workers’ compensation or similar coverage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21550840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No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8" w:space="0" w:color="CE2C43"/>
              <w:right w:val="single" w:sz="8" w:space="0" w:color="FFFFFF" w:themeColor="background1"/>
            </w:tcBorders>
            <w:shd w:val="clear" w:color="auto" w:fill="EEB0B9"/>
            <w:vAlign w:val="center"/>
          </w:tcPr>
          <w:p w14:paraId="562A387F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N/A</w:t>
            </w:r>
          </w:p>
        </w:tc>
      </w:tr>
      <w:tr w:rsidR="003E094E" w14:paraId="1ADBA300" w14:textId="77777777" w:rsidTr="00CA2B37">
        <w:trPr>
          <w:cantSplit/>
          <w:jc w:val="center"/>
        </w:trPr>
        <w:tc>
          <w:tcPr>
            <w:tcW w:w="3596" w:type="dxa"/>
            <w:tcBorders>
              <w:top w:val="single" w:sz="8" w:space="0" w:color="CE2C43"/>
              <w:left w:val="single" w:sz="8" w:space="0" w:color="FFFFFF" w:themeColor="background1"/>
              <w:bottom w:val="single" w:sz="24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4A5D8C7E" w14:textId="77777777" w:rsidR="009233E3" w:rsidRPr="009233E3" w:rsidRDefault="009A2EAB" w:rsidP="009233E3">
            <w:pPr>
              <w:pStyle w:val="T-Text"/>
            </w:pPr>
            <w:r w:rsidRPr="009233E3">
              <w:t>On-site medical clinic</w:t>
            </w:r>
          </w:p>
        </w:tc>
        <w:tc>
          <w:tcPr>
            <w:tcW w:w="3234" w:type="dxa"/>
            <w:tcBorders>
              <w:top w:val="single" w:sz="8" w:space="0" w:color="CE2C43"/>
              <w:left w:val="single" w:sz="8" w:space="0" w:color="FFFFFF" w:themeColor="background1"/>
              <w:bottom w:val="single" w:sz="24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01E3A8DA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No</w:t>
            </w:r>
          </w:p>
        </w:tc>
        <w:tc>
          <w:tcPr>
            <w:tcW w:w="3960" w:type="dxa"/>
            <w:tcBorders>
              <w:top w:val="single" w:sz="8" w:space="0" w:color="CE2C43"/>
              <w:left w:val="single" w:sz="8" w:space="0" w:color="FFFFFF" w:themeColor="background1"/>
              <w:bottom w:val="single" w:sz="24" w:space="0" w:color="CE2C43"/>
              <w:right w:val="single" w:sz="8" w:space="0" w:color="FFFFFF" w:themeColor="background1"/>
            </w:tcBorders>
            <w:shd w:val="clear" w:color="auto" w:fill="F8DCE0"/>
            <w:vAlign w:val="center"/>
          </w:tcPr>
          <w:p w14:paraId="15D155F7" w14:textId="77777777" w:rsidR="009233E3" w:rsidRPr="00AC506A" w:rsidRDefault="009A2EAB" w:rsidP="009233E3">
            <w:pPr>
              <w:pStyle w:val="T-Text"/>
              <w:jc w:val="center"/>
            </w:pPr>
            <w:r w:rsidRPr="00AC506A">
              <w:t>N/A</w:t>
            </w:r>
          </w:p>
        </w:tc>
      </w:tr>
    </w:tbl>
    <w:p w14:paraId="7708FF4E" w14:textId="77777777" w:rsidR="00431B1C" w:rsidRDefault="009A2EAB" w:rsidP="00431B1C">
      <w:pPr>
        <w:pStyle w:val="SectionedHeader"/>
      </w:pPr>
      <w:r>
        <w:lastRenderedPageBreak/>
        <w:t>Special Rule for Coverage Under Multiple Applicable Self-insured Health Plans</w:t>
      </w:r>
    </w:p>
    <w:p w14:paraId="2F37380A" w14:textId="77777777" w:rsidR="00CA2B37" w:rsidRPr="00AC506A" w:rsidRDefault="009A2EAB" w:rsidP="00CA2B37">
      <w:pPr>
        <w:pStyle w:val="BodyText"/>
      </w:pPr>
      <w:r w:rsidRPr="00AC506A">
        <w:t xml:space="preserve">Generally, separate fees apply for lives covered by each specified health insurance policy or applicable self-insured health plan. However, two </w:t>
      </w:r>
      <w:r w:rsidRPr="00AC506A">
        <w:t>or more applicable self-insured health plans may be combined and treated as a single applicable self-insured health plan for purposes of calculating the PCORI fee if the plans have</w:t>
      </w:r>
      <w:r>
        <w:t xml:space="preserve"> t</w:t>
      </w:r>
      <w:r w:rsidRPr="00AC506A">
        <w:t>he same plan sponsor and</w:t>
      </w:r>
      <w:r>
        <w:t xml:space="preserve"> t</w:t>
      </w:r>
      <w:r w:rsidRPr="00AC506A">
        <w:t>he same plan year.</w:t>
      </w:r>
    </w:p>
    <w:p w14:paraId="746DB644" w14:textId="77777777" w:rsidR="00CA2B37" w:rsidRPr="00AC506A" w:rsidRDefault="009A2EAB" w:rsidP="00CA2B37">
      <w:pPr>
        <w:pStyle w:val="BodyText"/>
      </w:pPr>
      <w:r w:rsidRPr="00AC506A">
        <w:t>For example, if amounts in an</w:t>
      </w:r>
      <w:r w:rsidRPr="00AC506A">
        <w:t xml:space="preserve"> HRA may be used to pay deductibles and copays under a specified health insurance policy, the HRA and the </w:t>
      </w:r>
      <w:r>
        <w:t xml:space="preserve">insurance </w:t>
      </w:r>
      <w:r w:rsidRPr="00AC506A">
        <w:t xml:space="preserve">policy would be subject to separate PCORI fees. However, an HRA that may be used to pay deductibles and copays under </w:t>
      </w:r>
      <w:r>
        <w:t>an</w:t>
      </w:r>
      <w:r w:rsidRPr="00AC506A">
        <w:t xml:space="preserve"> applicable self-insu</w:t>
      </w:r>
      <w:r w:rsidRPr="00AC506A">
        <w:t>red health plan is not subject to a separate fee if both the HRA and the applicable self-insured health plan have the same plan sponsor and the same plan year.</w:t>
      </w:r>
    </w:p>
    <w:p w14:paraId="2FF6385A" w14:textId="77777777" w:rsidR="00DA30FA" w:rsidRDefault="009A2EAB" w:rsidP="00CA2B37">
      <w:pPr>
        <w:pStyle w:val="BodyText"/>
      </w:pPr>
      <w:r w:rsidRPr="00AC506A">
        <w:t>There is no similar rule for lives covered by more than one insurance policy subject to the PCOR</w:t>
      </w:r>
      <w:r w:rsidRPr="00AC506A">
        <w:t>I fee.</w:t>
      </w:r>
    </w:p>
    <w:p w14:paraId="13DCB308" w14:textId="77777777" w:rsidR="00431B1C" w:rsidRPr="00A440A2" w:rsidRDefault="009A2EAB" w:rsidP="00431B1C">
      <w:pPr>
        <w:pStyle w:val="SectionedHeader"/>
      </w:pPr>
      <w:r>
        <w:t>Special Counting Rule for HRAs and FSAs</w:t>
      </w:r>
    </w:p>
    <w:p w14:paraId="14CD07AF" w14:textId="77777777" w:rsidR="00431B1C" w:rsidRDefault="009A2EAB" w:rsidP="00DA30FA">
      <w:pPr>
        <w:pStyle w:val="BodyText"/>
      </w:pPr>
      <w:r w:rsidRPr="00AC506A">
        <w:t>Plan sponsors are permitted to assume one covered life for each employee with an HRA</w:t>
      </w:r>
      <w:r>
        <w:t>, even if the HRA can reimburse expenses of the employee’s family members</w:t>
      </w:r>
      <w:r w:rsidRPr="00AC506A">
        <w:t>. Similarly, plan sponsors are permitted to assume o</w:t>
      </w:r>
      <w:r w:rsidRPr="00AC506A">
        <w:t>ne covered life for each employee with an FSA.</w:t>
      </w:r>
    </w:p>
    <w:p w14:paraId="18AC8CE2" w14:textId="77777777" w:rsidR="00431B1C" w:rsidRPr="00A440A2" w:rsidRDefault="009A2EAB" w:rsidP="00431B1C">
      <w:pPr>
        <w:pStyle w:val="SectionedHeader"/>
      </w:pPr>
      <w:r>
        <w:t>Qualified Small Employer HRA (QSEHRA)</w:t>
      </w:r>
    </w:p>
    <w:p w14:paraId="2EA57871" w14:textId="77777777" w:rsidR="003802DB" w:rsidRPr="00431B1C" w:rsidRDefault="009A2EAB" w:rsidP="00DA30FA">
      <w:pPr>
        <w:pStyle w:val="BodyText"/>
      </w:pPr>
      <w:r>
        <w:t>Plan sponsors of applicable self-insured health plans must file Form 720 annually to report and pay the PCORI fee; a QSEHRA is an applicable self-insured health plan for t</w:t>
      </w:r>
      <w:r>
        <w:t>his purpose.</w:t>
      </w:r>
    </w:p>
    <w:p w14:paraId="1D0A65B0" w14:textId="77777777" w:rsidR="00431B1C" w:rsidRPr="00DD505E" w:rsidRDefault="009A2EAB" w:rsidP="00431B1C">
      <w:pPr>
        <w:pStyle w:val="SectionedHeader"/>
      </w:pPr>
      <w:r>
        <w:t>More Information</w:t>
      </w:r>
    </w:p>
    <w:p w14:paraId="32EBD439" w14:textId="77777777" w:rsidR="00C84C66" w:rsidRDefault="009A2EAB" w:rsidP="00DA30FA">
      <w:pPr>
        <w:pStyle w:val="BodyText"/>
      </w:pPr>
      <w:r w:rsidRPr="00BB2662">
        <w:t>Please contact AHT Insurance for more information on PCORI fees.</w:t>
      </w:r>
    </w:p>
    <w:sectPr w:rsidR="00C84C66" w:rsidSect="00C84C66">
      <w:headerReference w:type="default" r:id="rId33"/>
      <w:footerReference w:type="default" r:id="rId34"/>
      <w:pgSz w:w="12240" w:h="15840"/>
      <w:pgMar w:top="180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D213D" w14:textId="77777777" w:rsidR="00000000" w:rsidRDefault="009A2EAB">
      <w:pPr>
        <w:spacing w:after="0" w:line="240" w:lineRule="auto"/>
      </w:pPr>
      <w:r>
        <w:separator/>
      </w:r>
    </w:p>
  </w:endnote>
  <w:endnote w:type="continuationSeparator" w:id="0">
    <w:p w14:paraId="4D3B39BF" w14:textId="77777777" w:rsidR="00000000" w:rsidRDefault="009A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7DEB8" w14:textId="77777777" w:rsidR="0098636D" w:rsidRDefault="009A2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428657" wp14:editId="2028B63D">
              <wp:simplePos x="0" y="0"/>
              <wp:positionH relativeFrom="margin">
                <wp:posOffset>0</wp:posOffset>
              </wp:positionH>
              <wp:positionV relativeFrom="margin">
                <wp:posOffset>5975536</wp:posOffset>
              </wp:positionV>
              <wp:extent cx="6849035" cy="8965"/>
              <wp:effectExtent l="19050" t="19050" r="9525" b="2921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49035" cy="8965"/>
                      </a:xfrm>
                      <a:prstGeom prst="line">
                        <a:avLst/>
                      </a:prstGeom>
                      <a:ln w="44450">
                        <a:solidFill>
                          <a:srgbClr val="CE2C43">
                            <a:alpha val="75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2049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6432" from="0,470.5pt" to="539.3pt,471.2pt" strokecolor="#ce2c43" strokeweight="3.5pt">
              <v:stroke joinstyle="miter" opacity="49087f"/>
              <w10:wrap anchorx="margin" anchory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4E3F4BC" wp14:editId="4830C170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gal_f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99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ABFED" w14:textId="77777777" w:rsidR="00A95ADA" w:rsidRDefault="009A2E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1EB1F" w14:textId="77777777" w:rsidR="00E6115F" w:rsidRDefault="00E61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E3A9D" w14:textId="77777777" w:rsidR="00000000" w:rsidRDefault="009A2EAB">
      <w:pPr>
        <w:spacing w:after="0" w:line="240" w:lineRule="auto"/>
      </w:pPr>
      <w:r>
        <w:separator/>
      </w:r>
    </w:p>
  </w:footnote>
  <w:footnote w:type="continuationSeparator" w:id="0">
    <w:p w14:paraId="59B9D690" w14:textId="77777777" w:rsidR="00000000" w:rsidRDefault="009A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46FA3" w14:textId="77777777" w:rsidR="0098636D" w:rsidRDefault="009A2E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41959C" wp14:editId="5E15469B">
          <wp:simplePos x="0" y="0"/>
          <wp:positionH relativeFrom="page">
            <wp:align>right</wp:align>
          </wp:positionH>
          <wp:positionV relativeFrom="page">
            <wp:posOffset>-20955</wp:posOffset>
          </wp:positionV>
          <wp:extent cx="7772397" cy="3851929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7" cy="3851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6DEC2" w14:textId="77777777" w:rsidR="00A357CD" w:rsidRDefault="009A2EA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9CA2B" wp14:editId="084D9D5B">
          <wp:simplePos x="0" y="0"/>
          <wp:positionH relativeFrom="page">
            <wp:posOffset>14032</wp:posOffset>
          </wp:positionH>
          <wp:positionV relativeFrom="paragraph">
            <wp:posOffset>-457200</wp:posOffset>
          </wp:positionV>
          <wp:extent cx="7753504" cy="1636395"/>
          <wp:effectExtent l="0" t="0" r="0" b="1905"/>
          <wp:wrapNone/>
          <wp:docPr id="4678349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29823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504" cy="163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AD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9A5559" wp14:editId="4FC8EE07">
              <wp:simplePos x="0" y="0"/>
              <wp:positionH relativeFrom="margin">
                <wp:posOffset>0</wp:posOffset>
              </wp:positionH>
              <wp:positionV relativeFrom="margin">
                <wp:posOffset>7751618</wp:posOffset>
              </wp:positionV>
              <wp:extent cx="6848475" cy="8890"/>
              <wp:effectExtent l="19050" t="19050" r="9525" b="2921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48475" cy="8890"/>
                      </a:xfrm>
                      <a:prstGeom prst="line">
                        <a:avLst/>
                      </a:prstGeom>
                      <a:ln w="44450">
                        <a:solidFill>
                          <a:srgbClr val="CE2C43">
                            <a:alpha val="75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2050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4384" from="0,610.35pt" to="539.25pt,611.05pt" strokecolor="#ce2c43" strokeweight="3.5pt">
              <v:stroke joinstyle="miter" opacity="49087f"/>
              <w10:wrap anchorx="margin" anchory="margin"/>
            </v:line>
          </w:pict>
        </mc:Fallback>
      </mc:AlternateContent>
    </w:r>
    <w:r w:rsidR="00A95AD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0734F" wp14:editId="113485B4">
              <wp:simplePos x="0" y="0"/>
              <wp:positionH relativeFrom="margin">
                <wp:posOffset>-55418</wp:posOffset>
              </wp:positionH>
              <wp:positionV relativeFrom="paragraph">
                <wp:posOffset>8679873</wp:posOffset>
              </wp:positionV>
              <wp:extent cx="5984875" cy="55626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4875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F4897E" w14:textId="77777777" w:rsidR="00EC1229" w:rsidRPr="00817EEE" w:rsidRDefault="009A2EAB" w:rsidP="00EC1229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Compliance Overview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opinions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="00CA2B37">
                            <w:rPr>
                              <w:szCs w:val="16"/>
                            </w:rPr>
                            <w:t xml:space="preserve">Design </w:t>
                          </w:r>
                          <w:r w:rsidRPr="00817EEE">
                            <w:t>©</w:t>
                          </w:r>
                          <w:r w:rsidR="00837917">
                            <w:t xml:space="preserve"> 201</w:t>
                          </w:r>
                          <w:r w:rsidR="00DA30FA">
                            <w:t>6</w:t>
                          </w:r>
                          <w:r w:rsidR="003802DB">
                            <w:t xml:space="preserve">, </w:t>
                          </w:r>
                          <w:r w:rsidRPr="00817EEE">
                            <w:t>20</w:t>
                          </w:r>
                          <w:r w:rsidR="00837917">
                            <w:t>20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  <w:r w:rsidR="00837917">
                            <w:t xml:space="preserve"> </w:t>
                          </w:r>
                          <w:r w:rsidR="00CA2B37">
                            <w:t>3</w:t>
                          </w:r>
                          <w:r w:rsidR="00837917">
                            <w:t>/1</w:t>
                          </w:r>
                          <w:r w:rsidR="00CA2B37">
                            <w:t>6</w:t>
                          </w:r>
                          <w:r w:rsidR="00837917">
                            <w:t>; BR 1/20</w:t>
                          </w:r>
                        </w:p>
                        <w:p w14:paraId="554B6843" w14:textId="77777777" w:rsidR="00EC1229" w:rsidRPr="00947E11" w:rsidRDefault="00EC1229" w:rsidP="00EC1229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48EBA2BD" w14:textId="77777777" w:rsidR="00E6115F" w:rsidRPr="00947E11" w:rsidRDefault="00E6115F" w:rsidP="008F7B15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0734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8" type="#_x0000_t202" style="position:absolute;margin-left:-4.35pt;margin-top:683.45pt;width:471.25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" filled="f" stroked="f" strokeweight=".5pt">
              <v:textbox>
                <w:txbxContent>
                  <w:p w14:paraId="19F4897E" w14:textId="77777777" w:rsidR="00EC1229" w:rsidRPr="00817EEE" w:rsidRDefault="009A2EAB" w:rsidP="00EC1229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Compliance Overview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opinions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="00CA2B37">
                      <w:rPr>
                        <w:szCs w:val="16"/>
                      </w:rPr>
                      <w:t xml:space="preserve">Design </w:t>
                    </w:r>
                    <w:r w:rsidRPr="00817EEE">
                      <w:t>©</w:t>
                    </w:r>
                    <w:r w:rsidR="00837917">
                      <w:t xml:space="preserve"> 201</w:t>
                    </w:r>
                    <w:r w:rsidR="00DA30FA">
                      <w:t>6</w:t>
                    </w:r>
                    <w:r w:rsidR="003802DB">
                      <w:t xml:space="preserve">, </w:t>
                    </w:r>
                    <w:r w:rsidRPr="00817EEE">
                      <w:t>20</w:t>
                    </w:r>
                    <w:r w:rsidR="00837917">
                      <w:t>20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  <w:r w:rsidR="00837917">
                      <w:t xml:space="preserve"> </w:t>
                    </w:r>
                    <w:r w:rsidR="00CA2B37">
                      <w:t>3</w:t>
                    </w:r>
                    <w:r w:rsidR="00837917">
                      <w:t>/1</w:t>
                    </w:r>
                    <w:r w:rsidR="00CA2B37">
                      <w:t>6</w:t>
                    </w:r>
                    <w:r w:rsidR="00837917">
                      <w:t>; BR 1/20</w:t>
                    </w:r>
                  </w:p>
                  <w:p w14:paraId="554B6843" w14:textId="77777777" w:rsidR="00EC1229" w:rsidRPr="00947E11" w:rsidRDefault="00EC1229" w:rsidP="00EC1229">
                    <w:pPr>
                      <w:pStyle w:val="Disclaimer"/>
                      <w:rPr>
                        <w:szCs w:val="16"/>
                      </w:rPr>
                    </w:pPr>
                  </w:p>
                  <w:p w14:paraId="48EBA2BD" w14:textId="77777777" w:rsidR="00E6115F" w:rsidRPr="00947E11" w:rsidRDefault="00E6115F" w:rsidP="008F7B15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1EFE"/>
    <w:multiLevelType w:val="multilevel"/>
    <w:tmpl w:val="B13CDD56"/>
    <w:numStyleLink w:val="BulletedList"/>
  </w:abstractNum>
  <w:abstractNum w:abstractNumId="1" w15:restartNumberingAfterBreak="0">
    <w:nsid w:val="11E95063"/>
    <w:multiLevelType w:val="hybridMultilevel"/>
    <w:tmpl w:val="CFA22E9A"/>
    <w:lvl w:ilvl="0" w:tplc="EB98C212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  <w:color w:val="CE2C43"/>
      </w:rPr>
    </w:lvl>
    <w:lvl w:ilvl="1" w:tplc="C11A98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8B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8C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A0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C0C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23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24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8CA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6488"/>
    <w:multiLevelType w:val="hybridMultilevel"/>
    <w:tmpl w:val="4A98104E"/>
    <w:lvl w:ilvl="0" w:tplc="DA9C47A6">
      <w:start w:val="1"/>
      <w:numFmt w:val="bullet"/>
      <w:pStyle w:val="T-BulletList"/>
      <w:lvlText w:val=""/>
      <w:lvlJc w:val="left"/>
      <w:pPr>
        <w:ind w:left="288" w:hanging="216"/>
      </w:pPr>
      <w:rPr>
        <w:rFonts w:ascii="Symbol" w:hAnsi="Symbol" w:hint="default"/>
        <w:sz w:val="20"/>
        <w:szCs w:val="20"/>
      </w:rPr>
    </w:lvl>
    <w:lvl w:ilvl="1" w:tplc="0A34F21C">
      <w:start w:val="1"/>
      <w:numFmt w:val="bullet"/>
      <w:lvlText w:val="o"/>
      <w:lvlJc w:val="left"/>
      <w:pPr>
        <w:ind w:left="576" w:hanging="216"/>
      </w:pPr>
      <w:rPr>
        <w:rFonts w:ascii="Courier New" w:hAnsi="Courier New" w:hint="default"/>
      </w:rPr>
    </w:lvl>
    <w:lvl w:ilvl="2" w:tplc="D3921842">
      <w:start w:val="1"/>
      <w:numFmt w:val="bullet"/>
      <w:lvlText w:val=""/>
      <w:lvlJc w:val="left"/>
      <w:pPr>
        <w:ind w:left="1008" w:hanging="288"/>
      </w:pPr>
      <w:rPr>
        <w:rFonts w:ascii="Wingdings" w:hAnsi="Wingdings" w:hint="default"/>
      </w:rPr>
    </w:lvl>
    <w:lvl w:ilvl="3" w:tplc="DAC67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63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C6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28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2B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ED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0686"/>
    <w:multiLevelType w:val="hybridMultilevel"/>
    <w:tmpl w:val="C96E1582"/>
    <w:lvl w:ilvl="0" w:tplc="93326850">
      <w:start w:val="1"/>
      <w:numFmt w:val="bullet"/>
      <w:pStyle w:val="Checkbox"/>
      <w:lvlText w:val=""/>
      <w:lvlJc w:val="left"/>
      <w:pPr>
        <w:ind w:left="2966" w:hanging="360"/>
      </w:pPr>
      <w:rPr>
        <w:rFonts w:ascii="Wingdings" w:hAnsi="Wingdings" w:hint="default"/>
        <w:color w:val="5083C9"/>
        <w:sz w:val="28"/>
      </w:rPr>
    </w:lvl>
    <w:lvl w:ilvl="1" w:tplc="5D5C296A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2" w:tplc="55AE8758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  <w:lvl w:ilvl="3" w:tplc="B42ED158" w:tentative="1">
      <w:start w:val="1"/>
      <w:numFmt w:val="bullet"/>
      <w:lvlText w:val=""/>
      <w:lvlJc w:val="left"/>
      <w:pPr>
        <w:ind w:left="8414" w:hanging="360"/>
      </w:pPr>
      <w:rPr>
        <w:rFonts w:ascii="Symbol" w:hAnsi="Symbol" w:hint="default"/>
      </w:rPr>
    </w:lvl>
    <w:lvl w:ilvl="4" w:tplc="D5FA647E" w:tentative="1">
      <w:start w:val="1"/>
      <w:numFmt w:val="bullet"/>
      <w:lvlText w:val="o"/>
      <w:lvlJc w:val="left"/>
      <w:pPr>
        <w:ind w:left="9134" w:hanging="360"/>
      </w:pPr>
      <w:rPr>
        <w:rFonts w:ascii="Courier New" w:hAnsi="Courier New" w:cs="Courier New" w:hint="default"/>
      </w:rPr>
    </w:lvl>
    <w:lvl w:ilvl="5" w:tplc="AFFCD5B0" w:tentative="1">
      <w:start w:val="1"/>
      <w:numFmt w:val="bullet"/>
      <w:lvlText w:val=""/>
      <w:lvlJc w:val="left"/>
      <w:pPr>
        <w:ind w:left="9854" w:hanging="360"/>
      </w:pPr>
      <w:rPr>
        <w:rFonts w:ascii="Wingdings" w:hAnsi="Wingdings" w:hint="default"/>
      </w:rPr>
    </w:lvl>
    <w:lvl w:ilvl="6" w:tplc="565C9E70" w:tentative="1">
      <w:start w:val="1"/>
      <w:numFmt w:val="bullet"/>
      <w:lvlText w:val=""/>
      <w:lvlJc w:val="left"/>
      <w:pPr>
        <w:ind w:left="10574" w:hanging="360"/>
      </w:pPr>
      <w:rPr>
        <w:rFonts w:ascii="Symbol" w:hAnsi="Symbol" w:hint="default"/>
      </w:rPr>
    </w:lvl>
    <w:lvl w:ilvl="7" w:tplc="A33E0344" w:tentative="1">
      <w:start w:val="1"/>
      <w:numFmt w:val="bullet"/>
      <w:lvlText w:val="o"/>
      <w:lvlJc w:val="left"/>
      <w:pPr>
        <w:ind w:left="11294" w:hanging="360"/>
      </w:pPr>
      <w:rPr>
        <w:rFonts w:ascii="Courier New" w:hAnsi="Courier New" w:cs="Courier New" w:hint="default"/>
      </w:rPr>
    </w:lvl>
    <w:lvl w:ilvl="8" w:tplc="B1F20878" w:tentative="1">
      <w:start w:val="1"/>
      <w:numFmt w:val="bullet"/>
      <w:lvlText w:val=""/>
      <w:lvlJc w:val="left"/>
      <w:pPr>
        <w:ind w:left="12014" w:hanging="360"/>
      </w:pPr>
      <w:rPr>
        <w:rFonts w:ascii="Wingdings" w:hAnsi="Wingdings" w:hint="default"/>
      </w:rPr>
    </w:lvl>
  </w:abstractNum>
  <w:abstractNum w:abstractNumId="4" w15:restartNumberingAfterBreak="0">
    <w:nsid w:val="1CC62024"/>
    <w:multiLevelType w:val="multilevel"/>
    <w:tmpl w:val="B13CDD56"/>
    <w:numStyleLink w:val="BulletedList"/>
  </w:abstractNum>
  <w:abstractNum w:abstractNumId="5" w15:restartNumberingAfterBreak="0">
    <w:nsid w:val="1ED21D9A"/>
    <w:multiLevelType w:val="hybridMultilevel"/>
    <w:tmpl w:val="6340F73E"/>
    <w:lvl w:ilvl="0" w:tplc="824AC496">
      <w:start w:val="1"/>
      <w:numFmt w:val="decimal"/>
      <w:lvlText w:val="%1."/>
      <w:lvlJc w:val="left"/>
      <w:pPr>
        <w:ind w:left="720" w:hanging="360"/>
      </w:pPr>
    </w:lvl>
    <w:lvl w:ilvl="1" w:tplc="402A0A9C" w:tentative="1">
      <w:start w:val="1"/>
      <w:numFmt w:val="lowerLetter"/>
      <w:lvlText w:val="%2."/>
      <w:lvlJc w:val="left"/>
      <w:pPr>
        <w:ind w:left="1440" w:hanging="360"/>
      </w:pPr>
    </w:lvl>
    <w:lvl w:ilvl="2" w:tplc="64CC811E" w:tentative="1">
      <w:start w:val="1"/>
      <w:numFmt w:val="lowerRoman"/>
      <w:lvlText w:val="%3."/>
      <w:lvlJc w:val="right"/>
      <w:pPr>
        <w:ind w:left="2160" w:hanging="180"/>
      </w:pPr>
    </w:lvl>
    <w:lvl w:ilvl="3" w:tplc="E7180F98" w:tentative="1">
      <w:start w:val="1"/>
      <w:numFmt w:val="decimal"/>
      <w:lvlText w:val="%4."/>
      <w:lvlJc w:val="left"/>
      <w:pPr>
        <w:ind w:left="2880" w:hanging="360"/>
      </w:pPr>
    </w:lvl>
    <w:lvl w:ilvl="4" w:tplc="A198C176" w:tentative="1">
      <w:start w:val="1"/>
      <w:numFmt w:val="lowerLetter"/>
      <w:lvlText w:val="%5."/>
      <w:lvlJc w:val="left"/>
      <w:pPr>
        <w:ind w:left="3600" w:hanging="360"/>
      </w:pPr>
    </w:lvl>
    <w:lvl w:ilvl="5" w:tplc="5AF4DE36" w:tentative="1">
      <w:start w:val="1"/>
      <w:numFmt w:val="lowerRoman"/>
      <w:lvlText w:val="%6."/>
      <w:lvlJc w:val="right"/>
      <w:pPr>
        <w:ind w:left="4320" w:hanging="180"/>
      </w:pPr>
    </w:lvl>
    <w:lvl w:ilvl="6" w:tplc="3FF0608A" w:tentative="1">
      <w:start w:val="1"/>
      <w:numFmt w:val="decimal"/>
      <w:lvlText w:val="%7."/>
      <w:lvlJc w:val="left"/>
      <w:pPr>
        <w:ind w:left="5040" w:hanging="360"/>
      </w:pPr>
    </w:lvl>
    <w:lvl w:ilvl="7" w:tplc="EA66E736" w:tentative="1">
      <w:start w:val="1"/>
      <w:numFmt w:val="lowerLetter"/>
      <w:lvlText w:val="%8."/>
      <w:lvlJc w:val="left"/>
      <w:pPr>
        <w:ind w:left="5760" w:hanging="360"/>
      </w:pPr>
    </w:lvl>
    <w:lvl w:ilvl="8" w:tplc="A8542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1C50"/>
    <w:multiLevelType w:val="multilevel"/>
    <w:tmpl w:val="B13CDD56"/>
    <w:numStyleLink w:val="BulletedList"/>
  </w:abstractNum>
  <w:abstractNum w:abstractNumId="7" w15:restartNumberingAfterBreak="0">
    <w:nsid w:val="370A2C70"/>
    <w:multiLevelType w:val="hybridMultilevel"/>
    <w:tmpl w:val="CB1A4564"/>
    <w:lvl w:ilvl="0" w:tplc="9016224A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C996F824">
      <w:start w:val="1"/>
      <w:numFmt w:val="bullet"/>
      <w:lvlText w:val="o"/>
      <w:lvlJc w:val="left"/>
      <w:pPr>
        <w:ind w:left="936" w:hanging="216"/>
      </w:pPr>
      <w:rPr>
        <w:rFonts w:ascii="Courier New" w:hAnsi="Courier New" w:hint="default"/>
      </w:rPr>
    </w:lvl>
    <w:lvl w:ilvl="2" w:tplc="0DE699F8">
      <w:start w:val="1"/>
      <w:numFmt w:val="bullet"/>
      <w:lvlText w:val=""/>
      <w:lvlJc w:val="left"/>
      <w:pPr>
        <w:ind w:left="1296" w:hanging="216"/>
      </w:pPr>
      <w:rPr>
        <w:rFonts w:ascii="Wingdings" w:hAnsi="Wingdings" w:hint="default"/>
      </w:rPr>
    </w:lvl>
    <w:lvl w:ilvl="3" w:tplc="6486C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EA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EA7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EA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84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5E5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E2C4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703BF"/>
    <w:multiLevelType w:val="multilevel"/>
    <w:tmpl w:val="B9EC39CC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370E"/>
    <w:multiLevelType w:val="hybridMultilevel"/>
    <w:tmpl w:val="0A8A9128"/>
    <w:lvl w:ilvl="0" w:tplc="406E3CD4">
      <w:start w:val="1"/>
      <w:numFmt w:val="decimal"/>
      <w:lvlText w:val="%1."/>
      <w:lvlJc w:val="left"/>
      <w:pPr>
        <w:ind w:left="720" w:hanging="360"/>
      </w:pPr>
    </w:lvl>
    <w:lvl w:ilvl="1" w:tplc="DA50E42E" w:tentative="1">
      <w:start w:val="1"/>
      <w:numFmt w:val="lowerLetter"/>
      <w:lvlText w:val="%2."/>
      <w:lvlJc w:val="left"/>
      <w:pPr>
        <w:ind w:left="1440" w:hanging="360"/>
      </w:pPr>
    </w:lvl>
    <w:lvl w:ilvl="2" w:tplc="7D802778" w:tentative="1">
      <w:start w:val="1"/>
      <w:numFmt w:val="lowerRoman"/>
      <w:lvlText w:val="%3."/>
      <w:lvlJc w:val="right"/>
      <w:pPr>
        <w:ind w:left="2160" w:hanging="180"/>
      </w:pPr>
    </w:lvl>
    <w:lvl w:ilvl="3" w:tplc="840E7178" w:tentative="1">
      <w:start w:val="1"/>
      <w:numFmt w:val="decimal"/>
      <w:lvlText w:val="%4."/>
      <w:lvlJc w:val="left"/>
      <w:pPr>
        <w:ind w:left="2880" w:hanging="360"/>
      </w:pPr>
    </w:lvl>
    <w:lvl w:ilvl="4" w:tplc="6F347874" w:tentative="1">
      <w:start w:val="1"/>
      <w:numFmt w:val="lowerLetter"/>
      <w:lvlText w:val="%5."/>
      <w:lvlJc w:val="left"/>
      <w:pPr>
        <w:ind w:left="3600" w:hanging="360"/>
      </w:pPr>
    </w:lvl>
    <w:lvl w:ilvl="5" w:tplc="A072D480" w:tentative="1">
      <w:start w:val="1"/>
      <w:numFmt w:val="lowerRoman"/>
      <w:lvlText w:val="%6."/>
      <w:lvlJc w:val="right"/>
      <w:pPr>
        <w:ind w:left="4320" w:hanging="180"/>
      </w:pPr>
    </w:lvl>
    <w:lvl w:ilvl="6" w:tplc="E5C082F6" w:tentative="1">
      <w:start w:val="1"/>
      <w:numFmt w:val="decimal"/>
      <w:lvlText w:val="%7."/>
      <w:lvlJc w:val="left"/>
      <w:pPr>
        <w:ind w:left="5040" w:hanging="360"/>
      </w:pPr>
    </w:lvl>
    <w:lvl w:ilvl="7" w:tplc="8D464CFE" w:tentative="1">
      <w:start w:val="1"/>
      <w:numFmt w:val="lowerLetter"/>
      <w:lvlText w:val="%8."/>
      <w:lvlJc w:val="left"/>
      <w:pPr>
        <w:ind w:left="5760" w:hanging="360"/>
      </w:pPr>
    </w:lvl>
    <w:lvl w:ilvl="8" w:tplc="1B143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601A1"/>
    <w:multiLevelType w:val="hybridMultilevel"/>
    <w:tmpl w:val="43CE94D6"/>
    <w:lvl w:ilvl="0" w:tplc="F8E29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B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7E4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6A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8E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B45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E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C3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83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24744"/>
    <w:multiLevelType w:val="hybridMultilevel"/>
    <w:tmpl w:val="102CC858"/>
    <w:lvl w:ilvl="0" w:tplc="AD7E6C54">
      <w:start w:val="1"/>
      <w:numFmt w:val="bullet"/>
      <w:pStyle w:val="Xbox"/>
      <w:lvlText w:val=""/>
      <w:lvlJc w:val="left"/>
      <w:pPr>
        <w:ind w:left="360" w:hanging="360"/>
      </w:pPr>
      <w:rPr>
        <w:rFonts w:ascii="Wingdings" w:hAnsi="Wingdings" w:hint="default"/>
        <w:color w:val="BD6363"/>
        <w:sz w:val="28"/>
      </w:rPr>
    </w:lvl>
    <w:lvl w:ilvl="1" w:tplc="4760BC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98346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F0EBF52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534011E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8228CEF2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B816ACAC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B3C6402C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2230FDAA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4E9B5816"/>
    <w:multiLevelType w:val="multilevel"/>
    <w:tmpl w:val="B13CDD56"/>
    <w:numStyleLink w:val="BulletedList"/>
  </w:abstractNum>
  <w:abstractNum w:abstractNumId="14" w15:restartNumberingAfterBreak="0">
    <w:nsid w:val="4F552E53"/>
    <w:multiLevelType w:val="multilevel"/>
    <w:tmpl w:val="B13CDD56"/>
    <w:numStyleLink w:val="BulletedList"/>
  </w:abstractNum>
  <w:abstractNum w:abstractNumId="15" w15:restartNumberingAfterBreak="0">
    <w:nsid w:val="62F21BF3"/>
    <w:multiLevelType w:val="hybridMultilevel"/>
    <w:tmpl w:val="919CA01C"/>
    <w:lvl w:ilvl="0" w:tplc="40E86E2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CE2C43"/>
      </w:rPr>
    </w:lvl>
    <w:lvl w:ilvl="1" w:tplc="835E3F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6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67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22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60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C8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49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F40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0692C"/>
    <w:multiLevelType w:val="multilevel"/>
    <w:tmpl w:val="B13CDD56"/>
    <w:numStyleLink w:val="BulletedList"/>
  </w:abstractNum>
  <w:abstractNum w:abstractNumId="17" w15:restartNumberingAfterBreak="0">
    <w:nsid w:val="6F346A19"/>
    <w:multiLevelType w:val="hybridMultilevel"/>
    <w:tmpl w:val="A2763910"/>
    <w:lvl w:ilvl="0" w:tplc="9402743C">
      <w:start w:val="1"/>
      <w:numFmt w:val="bullet"/>
      <w:pStyle w:val="H-BulletList"/>
      <w:lvlText w:val=""/>
      <w:lvlJc w:val="left"/>
      <w:pPr>
        <w:ind w:left="288" w:hanging="216"/>
      </w:pPr>
      <w:rPr>
        <w:rFonts w:ascii="Symbol" w:hAnsi="Symbol" w:hint="default"/>
        <w:sz w:val="20"/>
        <w:szCs w:val="20"/>
      </w:rPr>
    </w:lvl>
    <w:lvl w:ilvl="1" w:tplc="7E9EED28">
      <w:start w:val="1"/>
      <w:numFmt w:val="bullet"/>
      <w:lvlText w:val="o"/>
      <w:lvlJc w:val="left"/>
      <w:pPr>
        <w:ind w:left="504" w:hanging="144"/>
      </w:pPr>
      <w:rPr>
        <w:rFonts w:ascii="Courier New" w:hAnsi="Courier New" w:hint="default"/>
      </w:rPr>
    </w:lvl>
    <w:lvl w:ilvl="2" w:tplc="D854CABC">
      <w:start w:val="1"/>
      <w:numFmt w:val="bullet"/>
      <w:lvlText w:val=""/>
      <w:lvlJc w:val="left"/>
      <w:pPr>
        <w:ind w:left="1008" w:hanging="288"/>
      </w:pPr>
      <w:rPr>
        <w:rFonts w:ascii="Wingdings" w:hAnsi="Wingdings" w:hint="default"/>
      </w:rPr>
    </w:lvl>
    <w:lvl w:ilvl="3" w:tplc="37900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4A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824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67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C2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86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86126"/>
    <w:multiLevelType w:val="hybridMultilevel"/>
    <w:tmpl w:val="792E3A1A"/>
    <w:lvl w:ilvl="0" w:tplc="8D580BB0">
      <w:start w:val="1"/>
      <w:numFmt w:val="decimal"/>
      <w:pStyle w:val="Numbering"/>
      <w:lvlText w:val="%1."/>
      <w:lvlJc w:val="left"/>
      <w:pPr>
        <w:ind w:left="576" w:hanging="216"/>
      </w:pPr>
      <w:rPr>
        <w:rFonts w:hint="default"/>
      </w:rPr>
    </w:lvl>
    <w:lvl w:ilvl="1" w:tplc="BA26F7B8">
      <w:start w:val="1"/>
      <w:numFmt w:val="lowerLetter"/>
      <w:lvlText w:val="%2."/>
      <w:lvlJc w:val="left"/>
      <w:pPr>
        <w:ind w:left="936" w:hanging="216"/>
      </w:pPr>
      <w:rPr>
        <w:rFonts w:hint="default"/>
      </w:rPr>
    </w:lvl>
    <w:lvl w:ilvl="2" w:tplc="0E68F0CC">
      <w:start w:val="1"/>
      <w:numFmt w:val="lowerRoman"/>
      <w:lvlText w:val="%3."/>
      <w:lvlJc w:val="right"/>
      <w:pPr>
        <w:ind w:left="1296" w:hanging="216"/>
      </w:pPr>
      <w:rPr>
        <w:rFonts w:hint="default"/>
      </w:rPr>
    </w:lvl>
    <w:lvl w:ilvl="3" w:tplc="7B96D150" w:tentative="1">
      <w:start w:val="1"/>
      <w:numFmt w:val="decimal"/>
      <w:lvlText w:val="%4."/>
      <w:lvlJc w:val="left"/>
      <w:pPr>
        <w:ind w:left="2880" w:hanging="360"/>
      </w:pPr>
    </w:lvl>
    <w:lvl w:ilvl="4" w:tplc="73F85846" w:tentative="1">
      <w:start w:val="1"/>
      <w:numFmt w:val="lowerLetter"/>
      <w:lvlText w:val="%5."/>
      <w:lvlJc w:val="left"/>
      <w:pPr>
        <w:ind w:left="3600" w:hanging="360"/>
      </w:pPr>
    </w:lvl>
    <w:lvl w:ilvl="5" w:tplc="EF30B836" w:tentative="1">
      <w:start w:val="1"/>
      <w:numFmt w:val="lowerRoman"/>
      <w:lvlText w:val="%6."/>
      <w:lvlJc w:val="right"/>
      <w:pPr>
        <w:ind w:left="4320" w:hanging="180"/>
      </w:pPr>
    </w:lvl>
    <w:lvl w:ilvl="6" w:tplc="9BF48FEC" w:tentative="1">
      <w:start w:val="1"/>
      <w:numFmt w:val="decimal"/>
      <w:lvlText w:val="%7."/>
      <w:lvlJc w:val="left"/>
      <w:pPr>
        <w:ind w:left="5040" w:hanging="360"/>
      </w:pPr>
    </w:lvl>
    <w:lvl w:ilvl="7" w:tplc="DF2630C0" w:tentative="1">
      <w:start w:val="1"/>
      <w:numFmt w:val="lowerLetter"/>
      <w:lvlText w:val="%8."/>
      <w:lvlJc w:val="left"/>
      <w:pPr>
        <w:ind w:left="5760" w:hanging="360"/>
      </w:pPr>
    </w:lvl>
    <w:lvl w:ilvl="8" w:tplc="9CFE3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B4ECD"/>
    <w:multiLevelType w:val="hybridMultilevel"/>
    <w:tmpl w:val="6C406044"/>
    <w:lvl w:ilvl="0" w:tplc="AD8075BE">
      <w:start w:val="1"/>
      <w:numFmt w:val="bullet"/>
      <w:pStyle w:val="BulletlistHighligh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92323396">
      <w:start w:val="1"/>
      <w:numFmt w:val="bullet"/>
      <w:lvlText w:val="o"/>
      <w:lvlJc w:val="left"/>
      <w:pPr>
        <w:ind w:left="576" w:hanging="216"/>
      </w:pPr>
      <w:rPr>
        <w:rFonts w:ascii="Courier New" w:hAnsi="Courier New" w:hint="default"/>
      </w:rPr>
    </w:lvl>
    <w:lvl w:ilvl="2" w:tplc="754EA6F2">
      <w:start w:val="1"/>
      <w:numFmt w:val="bullet"/>
      <w:lvlText w:val=""/>
      <w:lvlJc w:val="left"/>
      <w:pPr>
        <w:ind w:left="864" w:hanging="216"/>
      </w:pPr>
      <w:rPr>
        <w:rFonts w:ascii="Wingdings" w:hAnsi="Wingdings" w:hint="default"/>
      </w:rPr>
    </w:lvl>
    <w:lvl w:ilvl="3" w:tplc="3EB4F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64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9A2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48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EF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74BC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19"/>
  </w:num>
  <w:num w:numId="6">
    <w:abstractNumId w:val="9"/>
  </w:num>
  <w:num w:numId="7">
    <w:abstractNumId w:val="8"/>
  </w:num>
  <w:num w:numId="8">
    <w:abstractNumId w:val="13"/>
  </w:num>
  <w:num w:numId="9">
    <w:abstractNumId w:val="6"/>
  </w:num>
  <w:num w:numId="10">
    <w:abstractNumId w:val="16"/>
  </w:num>
  <w:num w:numId="11">
    <w:abstractNumId w:val="0"/>
  </w:num>
  <w:num w:numId="12">
    <w:abstractNumId w:val="4"/>
  </w:num>
  <w:num w:numId="13">
    <w:abstractNumId w:val="14"/>
  </w:num>
  <w:num w:numId="14">
    <w:abstractNumId w:val="15"/>
  </w:num>
  <w:num w:numId="15">
    <w:abstractNumId w:val="7"/>
  </w:num>
  <w:num w:numId="16">
    <w:abstractNumId w:val="18"/>
  </w:num>
  <w:num w:numId="17">
    <w:abstractNumId w:val="18"/>
    <w:lvlOverride w:ilvl="0">
      <w:startOverride w:val="1"/>
    </w:lvlOverride>
  </w:num>
  <w:num w:numId="18">
    <w:abstractNumId w:val="5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1C"/>
    <w:rsid w:val="00036D4E"/>
    <w:rsid w:val="000446B4"/>
    <w:rsid w:val="0007474F"/>
    <w:rsid w:val="000847AD"/>
    <w:rsid w:val="00084E5A"/>
    <w:rsid w:val="00090473"/>
    <w:rsid w:val="000B71D2"/>
    <w:rsid w:val="000E7FD8"/>
    <w:rsid w:val="0012162D"/>
    <w:rsid w:val="001327E9"/>
    <w:rsid w:val="0016683E"/>
    <w:rsid w:val="00171781"/>
    <w:rsid w:val="001725D9"/>
    <w:rsid w:val="0019038E"/>
    <w:rsid w:val="001B1A7E"/>
    <w:rsid w:val="001B5774"/>
    <w:rsid w:val="001D411C"/>
    <w:rsid w:val="00216A57"/>
    <w:rsid w:val="00233BA9"/>
    <w:rsid w:val="00235733"/>
    <w:rsid w:val="0024208C"/>
    <w:rsid w:val="0026000D"/>
    <w:rsid w:val="00282C22"/>
    <w:rsid w:val="002A16C1"/>
    <w:rsid w:val="002D5D76"/>
    <w:rsid w:val="002E210C"/>
    <w:rsid w:val="002F02F6"/>
    <w:rsid w:val="003243B0"/>
    <w:rsid w:val="003267EB"/>
    <w:rsid w:val="0035530B"/>
    <w:rsid w:val="0037553A"/>
    <w:rsid w:val="00377AA8"/>
    <w:rsid w:val="003802DB"/>
    <w:rsid w:val="003A6B72"/>
    <w:rsid w:val="003C10A8"/>
    <w:rsid w:val="003E094E"/>
    <w:rsid w:val="00431B1C"/>
    <w:rsid w:val="00441851"/>
    <w:rsid w:val="00441DF1"/>
    <w:rsid w:val="00484002"/>
    <w:rsid w:val="00485C3A"/>
    <w:rsid w:val="004967FA"/>
    <w:rsid w:val="004A65E6"/>
    <w:rsid w:val="004B125C"/>
    <w:rsid w:val="004F3C17"/>
    <w:rsid w:val="00500B71"/>
    <w:rsid w:val="005018E9"/>
    <w:rsid w:val="00526C74"/>
    <w:rsid w:val="00534014"/>
    <w:rsid w:val="00584B55"/>
    <w:rsid w:val="005A5BCC"/>
    <w:rsid w:val="005B0F71"/>
    <w:rsid w:val="005D05D9"/>
    <w:rsid w:val="005D6D21"/>
    <w:rsid w:val="005E5147"/>
    <w:rsid w:val="005F25FD"/>
    <w:rsid w:val="00677DD4"/>
    <w:rsid w:val="006C276F"/>
    <w:rsid w:val="006C43B1"/>
    <w:rsid w:val="006D0148"/>
    <w:rsid w:val="006E3B62"/>
    <w:rsid w:val="006F0DB8"/>
    <w:rsid w:val="007068E3"/>
    <w:rsid w:val="00707343"/>
    <w:rsid w:val="007201D3"/>
    <w:rsid w:val="007256DB"/>
    <w:rsid w:val="00726939"/>
    <w:rsid w:val="0073743A"/>
    <w:rsid w:val="00795E67"/>
    <w:rsid w:val="00802FF0"/>
    <w:rsid w:val="00817EEE"/>
    <w:rsid w:val="008254B5"/>
    <w:rsid w:val="00826394"/>
    <w:rsid w:val="00837917"/>
    <w:rsid w:val="00844896"/>
    <w:rsid w:val="0084543D"/>
    <w:rsid w:val="008A7E71"/>
    <w:rsid w:val="008C01A9"/>
    <w:rsid w:val="008C3FE0"/>
    <w:rsid w:val="008C4D53"/>
    <w:rsid w:val="008C539C"/>
    <w:rsid w:val="008F6F04"/>
    <w:rsid w:val="008F7B15"/>
    <w:rsid w:val="009233E3"/>
    <w:rsid w:val="00926535"/>
    <w:rsid w:val="009425D5"/>
    <w:rsid w:val="00947E11"/>
    <w:rsid w:val="0098636D"/>
    <w:rsid w:val="00993033"/>
    <w:rsid w:val="009A1341"/>
    <w:rsid w:val="009A2EAB"/>
    <w:rsid w:val="009A663E"/>
    <w:rsid w:val="009D4BB6"/>
    <w:rsid w:val="009E4DC9"/>
    <w:rsid w:val="009F3CA3"/>
    <w:rsid w:val="009F63E8"/>
    <w:rsid w:val="00A337BD"/>
    <w:rsid w:val="00A357CD"/>
    <w:rsid w:val="00A440A2"/>
    <w:rsid w:val="00A47C53"/>
    <w:rsid w:val="00A55703"/>
    <w:rsid w:val="00A83C9F"/>
    <w:rsid w:val="00A95ADA"/>
    <w:rsid w:val="00AA15BC"/>
    <w:rsid w:val="00AC506A"/>
    <w:rsid w:val="00AD0649"/>
    <w:rsid w:val="00AE17B7"/>
    <w:rsid w:val="00B143CD"/>
    <w:rsid w:val="00B27C10"/>
    <w:rsid w:val="00B43E57"/>
    <w:rsid w:val="00BB01FE"/>
    <w:rsid w:val="00BB2662"/>
    <w:rsid w:val="00C73867"/>
    <w:rsid w:val="00C73DB9"/>
    <w:rsid w:val="00C84C66"/>
    <w:rsid w:val="00C9359B"/>
    <w:rsid w:val="00CA2B37"/>
    <w:rsid w:val="00CB6777"/>
    <w:rsid w:val="00CB7D73"/>
    <w:rsid w:val="00CF5E21"/>
    <w:rsid w:val="00D379D5"/>
    <w:rsid w:val="00D64548"/>
    <w:rsid w:val="00D76FCB"/>
    <w:rsid w:val="00D8467E"/>
    <w:rsid w:val="00DA30FA"/>
    <w:rsid w:val="00DA66E0"/>
    <w:rsid w:val="00DC3880"/>
    <w:rsid w:val="00DD505E"/>
    <w:rsid w:val="00E1040F"/>
    <w:rsid w:val="00E16E6C"/>
    <w:rsid w:val="00E16FF3"/>
    <w:rsid w:val="00E6115F"/>
    <w:rsid w:val="00E95E6B"/>
    <w:rsid w:val="00EA2BB6"/>
    <w:rsid w:val="00EC1229"/>
    <w:rsid w:val="00EC2053"/>
    <w:rsid w:val="00EF5623"/>
    <w:rsid w:val="00EF7BE8"/>
    <w:rsid w:val="00F021E9"/>
    <w:rsid w:val="00F7586D"/>
    <w:rsid w:val="00F77321"/>
    <w:rsid w:val="00FE2115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61C3"/>
  <w15:chartTrackingRefBased/>
  <w15:docId w15:val="{BFD93DD4-67EB-49D5-A40F-C0408832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BodyText2"/>
    <w:next w:val="Normal"/>
    <w:link w:val="Heading1Char"/>
    <w:uiPriority w:val="9"/>
    <w:rsid w:val="00431B1C"/>
    <w:pPr>
      <w:spacing w:before="240" w:line="240" w:lineRule="auto"/>
      <w:outlineLvl w:val="0"/>
    </w:pPr>
    <w:rPr>
      <w:rFonts w:ascii="Calibri" w:eastAsia="Times New Roman" w:hAnsi="Calibri" w:cs="Times New Roman"/>
      <w:b/>
      <w:caps/>
      <w:color w:val="BC5D58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431B1C"/>
    <w:pPr>
      <w:spacing w:before="240" w:after="120"/>
      <w:outlineLvl w:val="1"/>
    </w:pPr>
    <w:rPr>
      <w:rFonts w:ascii="Calibri" w:eastAsia="Calibri" w:hAnsi="Calibri" w:cs="Times New Roman"/>
      <w:b/>
      <w:i/>
      <w:color w:val="BC5D5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036D4E"/>
    <w:pPr>
      <w:spacing w:after="120" w:line="228" w:lineRule="auto"/>
    </w:pPr>
    <w:rPr>
      <w:b/>
      <w:color w:val="CE2C43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036D4E"/>
    <w:rPr>
      <w:b/>
      <w:color w:val="CE2C43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441851"/>
    <w:pPr>
      <w:spacing w:after="0" w:line="216" w:lineRule="auto"/>
      <w:jc w:val="left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44185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F77321"/>
    <w:pPr>
      <w:spacing w:after="60"/>
    </w:pPr>
  </w:style>
  <w:style w:type="paragraph" w:customStyle="1" w:styleId="Checkbox">
    <w:name w:val="Checkbox"/>
    <w:basedOn w:val="BulletList"/>
    <w:link w:val="CheckboxChar"/>
    <w:qFormat/>
    <w:rsid w:val="00CB7D73"/>
    <w:pPr>
      <w:numPr>
        <w:numId w:val="3"/>
      </w:numPr>
      <w:tabs>
        <w:tab w:val="left" w:pos="540"/>
      </w:tabs>
      <w:ind w:left="360"/>
    </w:pPr>
  </w:style>
  <w:style w:type="character" w:customStyle="1" w:styleId="BulletListChar">
    <w:name w:val="Bullet List Char"/>
    <w:basedOn w:val="BodyTextChar"/>
    <w:link w:val="BulletList"/>
    <w:rsid w:val="00F77321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1D411C"/>
    <w:pPr>
      <w:numPr>
        <w:numId w:val="4"/>
      </w:numPr>
    </w:pPr>
  </w:style>
  <w:style w:type="character" w:customStyle="1" w:styleId="CheckboxChar">
    <w:name w:val="Checkbox Char"/>
    <w:basedOn w:val="BulletListChar"/>
    <w:link w:val="Checkbox"/>
    <w:rsid w:val="00CB7D73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036D4E"/>
    <w:pPr>
      <w:jc w:val="center"/>
    </w:pPr>
    <w:rPr>
      <w:b/>
      <w:i/>
      <w:color w:val="CE2C43"/>
      <w:sz w:val="36"/>
      <w:szCs w:val="36"/>
    </w:rPr>
  </w:style>
  <w:style w:type="character" w:customStyle="1" w:styleId="XboxChar">
    <w:name w:val="Xbox Char"/>
    <w:basedOn w:val="CheckboxChar"/>
    <w:link w:val="Xbox"/>
    <w:rsid w:val="001D411C"/>
    <w:rPr>
      <w:rFonts w:ascii="Calibri" w:eastAsia="Times New Roman" w:hAnsi="Calibri" w:cs="Arial"/>
      <w:color w:val="595959"/>
      <w:szCs w:val="20"/>
    </w:rPr>
  </w:style>
  <w:style w:type="table" w:styleId="TableGrid">
    <w:name w:val="Table Grid"/>
    <w:basedOn w:val="TableNormal"/>
    <w:uiPriority w:val="39"/>
    <w:rsid w:val="00C8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OutBoxChar">
    <w:name w:val="Call Out Box Char"/>
    <w:basedOn w:val="FooterChar"/>
    <w:link w:val="CallOutBox"/>
    <w:rsid w:val="00036D4E"/>
    <w:rPr>
      <w:b/>
      <w:i/>
      <w:color w:val="CE2C43"/>
      <w:sz w:val="36"/>
      <w:szCs w:val="36"/>
    </w:rPr>
  </w:style>
  <w:style w:type="paragraph" w:customStyle="1" w:styleId="TableHeader">
    <w:name w:val="Table Header"/>
    <w:basedOn w:val="BodyText"/>
    <w:link w:val="TableHeaderChar"/>
    <w:qFormat/>
    <w:rsid w:val="003802DB"/>
    <w:pPr>
      <w:spacing w:before="80" w:after="80"/>
      <w:jc w:val="center"/>
    </w:pPr>
    <w:rPr>
      <w:b/>
      <w:color w:val="FFFFFF" w:themeColor="background1"/>
      <w:sz w:val="26"/>
      <w:szCs w:val="26"/>
    </w:rPr>
  </w:style>
  <w:style w:type="character" w:customStyle="1" w:styleId="TableHeaderChar">
    <w:name w:val="Table Header Char"/>
    <w:basedOn w:val="BodyTextChar"/>
    <w:link w:val="TableHeader"/>
    <w:rsid w:val="003802DB"/>
    <w:rPr>
      <w:rFonts w:ascii="Calibri" w:eastAsia="Times New Roman" w:hAnsi="Calibri" w:cs="Arial"/>
      <w:b/>
      <w:color w:val="FFFFFF" w:themeColor="background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C01A9"/>
    <w:rPr>
      <w:color w:val="0563C1" w:themeColor="hyperlink"/>
      <w:u w:val="single"/>
    </w:rPr>
  </w:style>
  <w:style w:type="paragraph" w:customStyle="1" w:styleId="BulletlistHighlight">
    <w:name w:val="Bullet list Highlight"/>
    <w:basedOn w:val="BodyText"/>
    <w:rsid w:val="008C01A9"/>
    <w:pPr>
      <w:numPr>
        <w:numId w:val="5"/>
      </w:numPr>
      <w:spacing w:before="120" w:after="120"/>
    </w:pPr>
    <w:rPr>
      <w:color w:val="FFFFFF"/>
    </w:rPr>
  </w:style>
  <w:style w:type="paragraph" w:customStyle="1" w:styleId="LR-Heading">
    <w:name w:val="LR-Heading"/>
    <w:basedOn w:val="Normal"/>
    <w:link w:val="LR-HeadingChar"/>
    <w:qFormat/>
    <w:rsid w:val="00036D4E"/>
    <w:pPr>
      <w:spacing w:before="120" w:after="120" w:line="240" w:lineRule="auto"/>
    </w:pPr>
    <w:rPr>
      <w:rFonts w:ascii="Calibri" w:eastAsia="Times New Roman" w:hAnsi="Calibri" w:cs="Times New Roman"/>
      <w:b/>
      <w:caps/>
      <w:color w:val="CE2C43"/>
      <w:sz w:val="28"/>
      <w:szCs w:val="20"/>
    </w:rPr>
  </w:style>
  <w:style w:type="character" w:customStyle="1" w:styleId="LR-HeadingChar">
    <w:name w:val="LR-Heading Char"/>
    <w:link w:val="LR-Heading"/>
    <w:rsid w:val="00036D4E"/>
    <w:rPr>
      <w:rFonts w:ascii="Calibri" w:eastAsia="Times New Roman" w:hAnsi="Calibri" w:cs="Times New Roman"/>
      <w:b/>
      <w:caps/>
      <w:color w:val="CE2C43"/>
      <w:sz w:val="28"/>
      <w:szCs w:val="20"/>
    </w:rPr>
  </w:style>
  <w:style w:type="paragraph" w:customStyle="1" w:styleId="LR-BulletList">
    <w:name w:val="LR-Bullet List"/>
    <w:basedOn w:val="BulletlistHighlight"/>
    <w:link w:val="LR-BulletListChar"/>
    <w:qFormat/>
    <w:rsid w:val="008C01A9"/>
    <w:rPr>
      <w:color w:val="595959"/>
    </w:rPr>
  </w:style>
  <w:style w:type="character" w:customStyle="1" w:styleId="LR-BulletListChar">
    <w:name w:val="LR-Bullet List Char"/>
    <w:link w:val="LR-BulletList"/>
    <w:rsid w:val="008C01A9"/>
    <w:rPr>
      <w:rFonts w:ascii="Calibri" w:eastAsia="Times New Roman" w:hAnsi="Calibri" w:cs="Arial"/>
      <w:color w:val="595959"/>
      <w:szCs w:val="20"/>
    </w:rPr>
  </w:style>
  <w:style w:type="paragraph" w:customStyle="1" w:styleId="SectionedHeader">
    <w:name w:val="Sectioned Header"/>
    <w:basedOn w:val="SubHeader"/>
    <w:link w:val="SectionedHeaderChar"/>
    <w:qFormat/>
    <w:rsid w:val="00036D4E"/>
    <w:rPr>
      <w:color w:val="CE2C43"/>
      <w:sz w:val="32"/>
      <w:szCs w:val="32"/>
    </w:rPr>
  </w:style>
  <w:style w:type="character" w:customStyle="1" w:styleId="SectionedHeaderChar">
    <w:name w:val="Sectioned Header Char"/>
    <w:basedOn w:val="SubHeaderChar"/>
    <w:link w:val="SectionedHeader"/>
    <w:rsid w:val="00036D4E"/>
    <w:rPr>
      <w:rFonts w:ascii="Calibri" w:eastAsia="Times New Roman" w:hAnsi="Calibri" w:cs="Arial"/>
      <w:b/>
      <w:color w:val="CE2C43"/>
      <w:sz w:val="32"/>
      <w:szCs w:val="32"/>
    </w:rPr>
  </w:style>
  <w:style w:type="numbering" w:customStyle="1" w:styleId="BulletedList">
    <w:name w:val="Bulleted List"/>
    <w:uiPriority w:val="99"/>
    <w:rsid w:val="00441DF1"/>
    <w:pPr>
      <w:numPr>
        <w:numId w:val="7"/>
      </w:numPr>
    </w:pPr>
  </w:style>
  <w:style w:type="paragraph" w:customStyle="1" w:styleId="Bullet">
    <w:name w:val="Bullet"/>
    <w:basedOn w:val="BodyText"/>
    <w:link w:val="BulletChar"/>
    <w:qFormat/>
    <w:rsid w:val="00431B1C"/>
    <w:pPr>
      <w:numPr>
        <w:numId w:val="14"/>
      </w:numPr>
    </w:pPr>
  </w:style>
  <w:style w:type="character" w:customStyle="1" w:styleId="BulletChar">
    <w:name w:val="Bullet Char"/>
    <w:basedOn w:val="BodyTextChar"/>
    <w:link w:val="Bullet"/>
    <w:rsid w:val="00431B1C"/>
    <w:rPr>
      <w:rFonts w:ascii="Calibri" w:eastAsia="Times New Roman" w:hAnsi="Calibri" w:cs="Arial"/>
      <w:color w:val="595959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B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1B1C"/>
    <w:rPr>
      <w:rFonts w:ascii="Calibri" w:eastAsia="Times New Roman" w:hAnsi="Calibri" w:cs="Times New Roman"/>
      <w:b/>
      <w:caps/>
      <w:color w:val="BC5D5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31B1C"/>
    <w:rPr>
      <w:rFonts w:ascii="Calibri" w:eastAsia="Calibri" w:hAnsi="Calibri" w:cs="Times New Roman"/>
      <w:b/>
      <w:i/>
      <w:color w:val="BC5D58"/>
      <w:sz w:val="24"/>
    </w:rPr>
  </w:style>
  <w:style w:type="paragraph" w:customStyle="1" w:styleId="Numbering">
    <w:name w:val="Numbering"/>
    <w:basedOn w:val="BodyText"/>
    <w:link w:val="NumberingChar"/>
    <w:rsid w:val="00431B1C"/>
    <w:pPr>
      <w:numPr>
        <w:numId w:val="16"/>
      </w:numPr>
      <w:spacing w:before="120" w:after="120"/>
    </w:pPr>
  </w:style>
  <w:style w:type="character" w:customStyle="1" w:styleId="NumberingChar">
    <w:name w:val="Numbering Char"/>
    <w:basedOn w:val="BodyTextChar"/>
    <w:link w:val="Numbering"/>
    <w:rsid w:val="00431B1C"/>
    <w:rPr>
      <w:rFonts w:ascii="Calibri" w:eastAsia="Times New Roman" w:hAnsi="Calibri" w:cs="Arial"/>
      <w:color w:val="59595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66E0"/>
    <w:rPr>
      <w:color w:val="954F72" w:themeColor="followedHyperlink"/>
      <w:u w:val="single"/>
    </w:rPr>
  </w:style>
  <w:style w:type="paragraph" w:customStyle="1" w:styleId="T-Text">
    <w:name w:val="T-Text"/>
    <w:basedOn w:val="BodyText"/>
    <w:link w:val="T-TextChar"/>
    <w:qFormat/>
    <w:rsid w:val="009233E3"/>
    <w:pPr>
      <w:spacing w:before="80" w:after="80"/>
      <w:jc w:val="left"/>
    </w:pPr>
  </w:style>
  <w:style w:type="character" w:customStyle="1" w:styleId="T-TextChar">
    <w:name w:val="T-Text Char"/>
    <w:link w:val="T-Text"/>
    <w:rsid w:val="009233E3"/>
    <w:rPr>
      <w:rFonts w:ascii="Calibri" w:eastAsia="Times New Roman" w:hAnsi="Calibri" w:cs="Arial"/>
      <w:color w:val="595959"/>
      <w:szCs w:val="20"/>
    </w:rPr>
  </w:style>
  <w:style w:type="paragraph" w:customStyle="1" w:styleId="H-BulletList">
    <w:name w:val="H-Bullet List"/>
    <w:basedOn w:val="Normal"/>
    <w:link w:val="H-BulletListChar"/>
    <w:qFormat/>
    <w:rsid w:val="00B143CD"/>
    <w:pPr>
      <w:numPr>
        <w:numId w:val="20"/>
      </w:numPr>
      <w:spacing w:before="120" w:after="120" w:line="240" w:lineRule="auto"/>
    </w:pPr>
    <w:rPr>
      <w:rFonts w:ascii="Calibri" w:eastAsia="Calibri" w:hAnsi="Calibri" w:cs="Times New Roman"/>
      <w:color w:val="595959"/>
      <w:szCs w:val="24"/>
    </w:rPr>
  </w:style>
  <w:style w:type="character" w:customStyle="1" w:styleId="H-BulletListChar">
    <w:name w:val="H-Bullet List Char"/>
    <w:link w:val="H-BulletList"/>
    <w:rsid w:val="00B143CD"/>
    <w:rPr>
      <w:rFonts w:ascii="Calibri" w:eastAsia="Calibri" w:hAnsi="Calibri" w:cs="Times New Roman"/>
      <w:color w:val="595959"/>
      <w:szCs w:val="24"/>
    </w:rPr>
  </w:style>
  <w:style w:type="paragraph" w:customStyle="1" w:styleId="T-BulletList">
    <w:name w:val="T-Bullet List"/>
    <w:basedOn w:val="ListParagraph"/>
    <w:link w:val="T-BulletListChar"/>
    <w:rsid w:val="009233E3"/>
    <w:pPr>
      <w:numPr>
        <w:numId w:val="22"/>
      </w:numPr>
      <w:spacing w:before="120" w:after="120" w:line="240" w:lineRule="auto"/>
      <w:contextualSpacing w:val="0"/>
    </w:pPr>
    <w:rPr>
      <w:rFonts w:ascii="Calibri" w:eastAsia="Calibri" w:hAnsi="Calibri" w:cs="Times New Roman"/>
      <w:color w:val="595959"/>
      <w:szCs w:val="20"/>
    </w:rPr>
  </w:style>
  <w:style w:type="character" w:customStyle="1" w:styleId="T-BulletListChar">
    <w:name w:val="T-Bullet List Char"/>
    <w:link w:val="T-BulletList"/>
    <w:rsid w:val="009233E3"/>
    <w:rPr>
      <w:rFonts w:ascii="Calibri" w:eastAsia="Calibri" w:hAnsi="Calibri" w:cs="Times New Roman"/>
      <w:color w:val="595959"/>
      <w:szCs w:val="20"/>
    </w:rPr>
  </w:style>
  <w:style w:type="paragraph" w:styleId="ListParagraph">
    <w:name w:val="List Paragraph"/>
    <w:basedOn w:val="Normal"/>
    <w:uiPriority w:val="34"/>
    <w:rsid w:val="0092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rs.gov/uac/EFTPS-The-Electronic-Federal-Tax-Payment-System" TargetMode="External"/><Relationship Id="rId18" Type="http://schemas.openxmlformats.org/officeDocument/2006/relationships/hyperlink" Target="http://www.gpo.gov/fdsys/pkg/FR-2012-12-06/pdf/2012-29325.pdf" TargetMode="External"/><Relationship Id="rId26" Type="http://schemas.openxmlformats.org/officeDocument/2006/relationships/hyperlink" Target="https://www.irs.gov/uac/Newsroom/Patient-Centered-Outcomes-Research-Institute-Fe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s.gov/pub/irs-pdf/f720.pdf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irs.gov/pub/irs-pdf/i720.pdf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gpo.gov/fdsys/pkg/FR-2012-12-06/pdf/2012-29325.pdf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www.irs.gov/affordable-care-act/patient-centered-outcomes-research-trust-fund-fee-questions-and-answers" TargetMode="External"/><Relationship Id="rId29" Type="http://schemas.openxmlformats.org/officeDocument/2006/relationships/hyperlink" Target="http://www.irs.gov/pub/irs-pdf/i7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s.gov/pub/irs-pdf/f720.pdf" TargetMode="External"/><Relationship Id="rId24" Type="http://schemas.openxmlformats.org/officeDocument/2006/relationships/hyperlink" Target="https://www.congress.gov/bill/116th-congress/house-bill/1865/text" TargetMode="External"/><Relationship Id="rId32" Type="http://schemas.openxmlformats.org/officeDocument/2006/relationships/hyperlink" Target="https://www.irs.gov/uac/Application-of-the-Patient-Centered-Outcomes-Research-Trust-Fund-Fee-to-Common-Types-of-Health-Coverage-or-Arrangem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rs.gov/uac/EFTPS-The-Electronic-Federal-Tax-Payment-System" TargetMode="External"/><Relationship Id="rId23" Type="http://schemas.openxmlformats.org/officeDocument/2006/relationships/hyperlink" Target="https://www.irs.gov/affordable-care-act/patient-centered-outreach-research-institute-filing-due-dates-and-applicable-rates" TargetMode="External"/><Relationship Id="rId28" Type="http://schemas.openxmlformats.org/officeDocument/2006/relationships/hyperlink" Target="http://www.irs.gov/pub/irs-pdf/f720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ongress.gov/bill/116th-congress/house-bill/1865/text" TargetMode="External"/><Relationship Id="rId19" Type="http://schemas.openxmlformats.org/officeDocument/2006/relationships/hyperlink" Target="https://www.irs.gov/uac/Newsroom/Patient-Centered-Outcomes-Research-Institute-Fee" TargetMode="External"/><Relationship Id="rId31" Type="http://schemas.openxmlformats.org/officeDocument/2006/relationships/hyperlink" Target="https://www.congress.gov/bill/116th-congress/house-bill/1865/tex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rs.gov/pub/irs-pdf/i720.pdf" TargetMode="External"/><Relationship Id="rId22" Type="http://schemas.openxmlformats.org/officeDocument/2006/relationships/hyperlink" Target="http://www.irs.gov/pub/irs-pdf/i720.pdf" TargetMode="External"/><Relationship Id="rId27" Type="http://schemas.openxmlformats.org/officeDocument/2006/relationships/hyperlink" Target="https://www.irs.gov/affordable-care-act/patient-centered-outcomes-research-trust-fund-fee-questions-and-answers" TargetMode="External"/><Relationship Id="rId30" Type="http://schemas.openxmlformats.org/officeDocument/2006/relationships/hyperlink" Target="https://www.irs.gov/affordable-care-act/patient-centered-outreach-research-institute-filing-due-dates-and-applicable-rates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Rollefson, Becca</dc:creator>
  <cp:lastModifiedBy>Caitlin Hillenbrand</cp:lastModifiedBy>
  <cp:revision>2</cp:revision>
  <dcterms:created xsi:type="dcterms:W3CDTF">2020-12-02T00:36:00Z</dcterms:created>
  <dcterms:modified xsi:type="dcterms:W3CDTF">2020-12-02T00:36:00Z</dcterms:modified>
</cp:coreProperties>
</file>