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B5E4" w14:textId="77777777" w:rsidR="0026000D" w:rsidRPr="008A7E71" w:rsidRDefault="00764A90" w:rsidP="00764A90">
      <w:pPr>
        <w:pStyle w:val="MainTitle"/>
        <w:spacing w:line="204" w:lineRule="auto"/>
      </w:pPr>
      <w:r w:rsidRPr="00764A90">
        <w:rPr>
          <w:noProof/>
        </w:rPr>
        <w:drawing>
          <wp:anchor distT="0" distB="0" distL="114300" distR="114300" simplePos="0" relativeHeight="251658240" behindDoc="0" locked="1" layoutInCell="1" allowOverlap="1" wp14:anchorId="4000E7B1" wp14:editId="7DC538DB">
            <wp:simplePos x="0" y="0"/>
            <wp:positionH relativeFrom="margin">
              <wp:posOffset>2717800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514036"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4C2F9B">
        <w:rPr>
          <w:noProof/>
        </w:rPr>
        <mc:AlternateContent>
          <mc:Choice Requires="wpg">
            <w:drawing>
              <wp:anchor distT="0" distB="0" distL="114300" distR="114300" simplePos="0" relativeHeight="251665408" behindDoc="1" locked="0" layoutInCell="1" allowOverlap="1" wp14:anchorId="1223154F" wp14:editId="66F532F7">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334146656"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02732FB6" w14:textId="77777777" w:rsidR="00F474DA" w:rsidRPr="00B27C10" w:rsidRDefault="004C2F9B" w:rsidP="00A95ADA">
                                <w:pPr>
                                  <w:pStyle w:val="SubHeader"/>
                                  <w:rPr>
                                    <w:color w:val="5083C9"/>
                                    <w:sz w:val="32"/>
                                    <w:szCs w:val="32"/>
                                  </w:rPr>
                                </w:pPr>
                                <w:r>
                                  <w:rPr>
                                    <w:color w:val="5083C9"/>
                                    <w:sz w:val="32"/>
                                    <w:szCs w:val="32"/>
                                  </w:rPr>
                                  <w:t>Required Notices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6D5AA50E" w14:textId="77777777" w:rsidR="00F474DA" w:rsidRDefault="004C2F9B" w:rsidP="00E80A5C">
                              <w:pPr>
                                <w:pStyle w:val="Bullet"/>
                                <w:spacing w:after="120"/>
                                <w:ind w:left="360"/>
                                <w:jc w:val="left"/>
                              </w:pPr>
                              <w:r>
                                <w:t xml:space="preserve">Group health plan sponsors must comply with numerous reporting and disclosure requirements. </w:t>
                              </w:r>
                            </w:p>
                            <w:p w14:paraId="497B0AE3" w14:textId="77777777" w:rsidR="00F474DA" w:rsidRDefault="004C2F9B" w:rsidP="00E80A5C">
                              <w:pPr>
                                <w:pStyle w:val="Bullet"/>
                                <w:spacing w:after="120"/>
                                <w:ind w:left="360"/>
                                <w:jc w:val="left"/>
                              </w:pPr>
                              <w:r>
                                <w:t xml:space="preserve">Each notice or disclosure has its own timing requirements. </w:t>
                              </w:r>
                            </w:p>
                            <w:p w14:paraId="105D8999" w14:textId="77777777" w:rsidR="00A3266C" w:rsidRDefault="004C2F9B" w:rsidP="00E80A5C">
                              <w:pPr>
                                <w:pStyle w:val="Bullet"/>
                                <w:spacing w:after="120"/>
                                <w:ind w:left="360"/>
                                <w:jc w:val="left"/>
                              </w:pPr>
                              <w:r>
                                <w:t xml:space="preserve">Although some notice and disclosure requirements apply to all employers, others only apply to certain employers. </w:t>
                              </w:r>
                            </w:p>
                            <w:p w14:paraId="6F7471F8" w14:textId="77777777" w:rsidR="00F474DA" w:rsidRPr="00526C74" w:rsidRDefault="004C2F9B" w:rsidP="00E80A5C">
                              <w:pPr>
                                <w:pStyle w:val="Bullet"/>
                                <w:spacing w:after="120"/>
                                <w:ind w:left="360"/>
                                <w:jc w:val="left"/>
                              </w:pPr>
                              <w:r>
                                <w:t xml:space="preserve">Model forms are available for many required disclosures. </w:t>
                              </w:r>
                            </w:p>
                            <w:p w14:paraId="61452A8E" w14:textId="77777777" w:rsidR="00F474DA" w:rsidRPr="00526C74" w:rsidRDefault="00F474DA" w:rsidP="00326C45">
                              <w:pPr>
                                <w:pStyle w:val="Xbox"/>
                                <w:numPr>
                                  <w:ilvl w:val="0"/>
                                  <w:numId w:val="0"/>
                                </w:numPr>
                                <w:ind w:left="540" w:hanging="450"/>
                              </w:pPr>
                            </w:p>
                          </w:txbxContent>
                        </wps:txbx>
                        <wps:bodyPr rot="0" vert="horz" wrap="square" anchor="t" anchorCtr="0"/>
                      </wps:wsp>
                    </wpg:wgp>
                  </a:graphicData>
                </a:graphic>
              </wp:anchor>
            </w:drawing>
          </mc:Choice>
          <mc:Fallback>
            <w:pict>
              <v:group w14:anchorId="1223154F"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2732FB6" w14:textId="77777777" w:rsidR="00F474DA" w:rsidRPr="00B27C10" w:rsidRDefault="004C2F9B" w:rsidP="00A95ADA">
                          <w:pPr>
                            <w:pStyle w:val="SubHeader"/>
                            <w:rPr>
                              <w:color w:val="5083C9"/>
                              <w:sz w:val="32"/>
                              <w:szCs w:val="32"/>
                            </w:rPr>
                          </w:pPr>
                          <w:r>
                            <w:rPr>
                              <w:color w:val="5083C9"/>
                              <w:sz w:val="32"/>
                              <w:szCs w:val="32"/>
                            </w:rPr>
                            <w:t>Required Notices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D5AA50E" w14:textId="77777777" w:rsidR="00F474DA" w:rsidRDefault="004C2F9B" w:rsidP="00E80A5C">
                        <w:pPr>
                          <w:pStyle w:val="Bullet"/>
                          <w:spacing w:after="120"/>
                          <w:ind w:left="360"/>
                          <w:jc w:val="left"/>
                        </w:pPr>
                        <w:r>
                          <w:t xml:space="preserve">Group health plan sponsors must comply with numerous reporting and disclosure requirements. </w:t>
                        </w:r>
                      </w:p>
                      <w:p w14:paraId="497B0AE3" w14:textId="77777777" w:rsidR="00F474DA" w:rsidRDefault="004C2F9B" w:rsidP="00E80A5C">
                        <w:pPr>
                          <w:pStyle w:val="Bullet"/>
                          <w:spacing w:after="120"/>
                          <w:ind w:left="360"/>
                          <w:jc w:val="left"/>
                        </w:pPr>
                        <w:r>
                          <w:t xml:space="preserve">Each notice or disclosure has its own timing requirements. </w:t>
                        </w:r>
                      </w:p>
                      <w:p w14:paraId="105D8999" w14:textId="77777777" w:rsidR="00A3266C" w:rsidRDefault="004C2F9B" w:rsidP="00E80A5C">
                        <w:pPr>
                          <w:pStyle w:val="Bullet"/>
                          <w:spacing w:after="120"/>
                          <w:ind w:left="360"/>
                          <w:jc w:val="left"/>
                        </w:pPr>
                        <w:r>
                          <w:t xml:space="preserve">Although some notice and disclosure requirements apply to all employers, others only apply to certain employers. </w:t>
                        </w:r>
                      </w:p>
                      <w:p w14:paraId="6F7471F8" w14:textId="77777777" w:rsidR="00F474DA" w:rsidRPr="00526C74" w:rsidRDefault="004C2F9B" w:rsidP="00E80A5C">
                        <w:pPr>
                          <w:pStyle w:val="Bullet"/>
                          <w:spacing w:after="120"/>
                          <w:ind w:left="360"/>
                          <w:jc w:val="left"/>
                        </w:pPr>
                        <w:r>
                          <w:t xml:space="preserve">Model forms are available for many required disclosures. </w:t>
                        </w:r>
                      </w:p>
                      <w:p w14:paraId="61452A8E" w14:textId="77777777" w:rsidR="00F474DA" w:rsidRPr="00526C74" w:rsidRDefault="00F474DA" w:rsidP="00326C45">
                        <w:pPr>
                          <w:pStyle w:val="Xbox"/>
                          <w:numPr>
                            <w:ilvl w:val="0"/>
                            <w:numId w:val="0"/>
                          </w:numPr>
                          <w:ind w:left="540" w:hanging="450"/>
                        </w:pPr>
                      </w:p>
                    </w:txbxContent>
                  </v:textbox>
                </v:shape>
              </v:group>
            </w:pict>
          </mc:Fallback>
        </mc:AlternateContent>
      </w:r>
      <w:r w:rsidRPr="00764A90">
        <w:t xml:space="preserve">Employee Benefit Compliance Chart: Notice and Disclosure Rules </w:t>
      </w:r>
    </w:p>
    <w:p w14:paraId="4EC0BA21" w14:textId="77777777" w:rsidR="00E80A5C" w:rsidRDefault="004C2F9B" w:rsidP="008C01A9">
      <w:pPr>
        <w:pStyle w:val="BodyText"/>
      </w:pPr>
      <w:r w:rsidRPr="00E80A5C">
        <w:t>This Compliance Ove</w:t>
      </w:r>
      <w:r w:rsidRPr="00E80A5C">
        <w:t>rview summarizes a number of the notice and disclosure requirements that apply to group health plans and employers under federal laws. For example, th</w:t>
      </w:r>
      <w:r w:rsidR="00A3266C">
        <w:t>is overview</w:t>
      </w:r>
      <w:r w:rsidRPr="00E80A5C">
        <w:t xml:space="preserve"> describes notice and disclosure requirements under: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415"/>
      </w:tblGrid>
      <w:tr w:rsidR="00960533" w14:paraId="6E69BD23" w14:textId="77777777" w:rsidTr="00E80A5C">
        <w:tc>
          <w:tcPr>
            <w:tcW w:w="3415" w:type="dxa"/>
          </w:tcPr>
          <w:p w14:paraId="52B156B5" w14:textId="77777777" w:rsidR="00E80A5C" w:rsidRDefault="004C2F9B" w:rsidP="00E80A5C">
            <w:pPr>
              <w:pStyle w:val="Checkbox"/>
              <w:spacing w:before="120" w:after="120"/>
              <w:ind w:left="532" w:hanging="446"/>
            </w:pPr>
            <w:r>
              <w:t>The Affordable Care Act (ACA)</w:t>
            </w:r>
          </w:p>
          <w:p w14:paraId="78584BF8" w14:textId="77777777" w:rsidR="00E80A5C" w:rsidRDefault="004C2F9B" w:rsidP="00E80A5C">
            <w:pPr>
              <w:pStyle w:val="Checkbox"/>
              <w:spacing w:before="120" w:after="120"/>
              <w:ind w:left="532" w:hanging="446"/>
            </w:pPr>
            <w:r>
              <w:t>COBRA</w:t>
            </w:r>
          </w:p>
          <w:p w14:paraId="6E6770B6" w14:textId="77777777" w:rsidR="00E80A5C" w:rsidRDefault="004C2F9B" w:rsidP="00E80A5C">
            <w:pPr>
              <w:pStyle w:val="Checkbox"/>
              <w:spacing w:before="120" w:after="120"/>
              <w:ind w:left="532" w:hanging="446"/>
            </w:pPr>
            <w:r>
              <w:t>ERISA</w:t>
            </w:r>
          </w:p>
          <w:p w14:paraId="115BEDA2" w14:textId="77777777" w:rsidR="00E80A5C" w:rsidRDefault="004C2F9B" w:rsidP="00E80A5C">
            <w:pPr>
              <w:pStyle w:val="Checkbox"/>
              <w:spacing w:before="120" w:after="120"/>
              <w:ind w:left="532" w:hanging="446"/>
            </w:pPr>
            <w:r>
              <w:t>The Family and Medical Leave Act (FMLA)</w:t>
            </w:r>
          </w:p>
        </w:tc>
        <w:tc>
          <w:tcPr>
            <w:tcW w:w="3415" w:type="dxa"/>
          </w:tcPr>
          <w:p w14:paraId="0EB8088A" w14:textId="77777777" w:rsidR="00E80A5C" w:rsidRDefault="004C2F9B" w:rsidP="00E80A5C">
            <w:pPr>
              <w:pStyle w:val="Checkbox"/>
              <w:spacing w:before="120" w:after="120"/>
              <w:jc w:val="left"/>
            </w:pPr>
            <w:r>
              <w:t>The Genetic Information Nondiscrimination Act (GINA)</w:t>
            </w:r>
          </w:p>
          <w:p w14:paraId="452C61CF" w14:textId="77777777" w:rsidR="00E80A5C" w:rsidRDefault="004C2F9B" w:rsidP="00E80A5C">
            <w:pPr>
              <w:pStyle w:val="Checkbox"/>
              <w:spacing w:before="120" w:after="120"/>
            </w:pPr>
            <w:r>
              <w:t>HIPAA</w:t>
            </w:r>
          </w:p>
          <w:p w14:paraId="52B12D92" w14:textId="77777777" w:rsidR="00E80A5C" w:rsidRDefault="004C2F9B" w:rsidP="00E80A5C">
            <w:pPr>
              <w:pStyle w:val="Checkbox"/>
              <w:spacing w:before="120" w:after="120"/>
            </w:pPr>
            <w:r>
              <w:t>Medicare Part D</w:t>
            </w:r>
          </w:p>
          <w:p w14:paraId="722E1F0A" w14:textId="77777777" w:rsidR="00E80A5C" w:rsidRDefault="004C2F9B" w:rsidP="00E80A5C">
            <w:pPr>
              <w:pStyle w:val="Checkbox"/>
              <w:spacing w:before="120" w:after="120"/>
              <w:jc w:val="left"/>
            </w:pPr>
            <w:r>
              <w:t>Other federal laws, such as the Women’s Health and Cancer Rights Act (WHCRA)</w:t>
            </w:r>
          </w:p>
        </w:tc>
      </w:tr>
    </w:tbl>
    <w:p w14:paraId="6989E751" w14:textId="77777777" w:rsidR="00E80A5C" w:rsidRDefault="00E80A5C" w:rsidP="008C01A9">
      <w:pPr>
        <w:pStyle w:val="BodyText"/>
      </w:pPr>
    </w:p>
    <w:p w14:paraId="6A7BF526" w14:textId="77777777" w:rsidR="00957814" w:rsidRDefault="004C2F9B" w:rsidP="00E80A5C">
      <w:pPr>
        <w:pStyle w:val="Bullet"/>
        <w:numPr>
          <w:ilvl w:val="0"/>
          <w:numId w:val="0"/>
        </w:numPr>
        <w:ind w:left="2160"/>
        <w:rPr>
          <w:rStyle w:val="BulletChar"/>
        </w:rPr>
      </w:pPr>
      <w:r>
        <w:rPr>
          <w:noProof/>
        </w:rPr>
        <mc:AlternateContent>
          <mc:Choice Requires="wpg">
            <w:drawing>
              <wp:anchor distT="0" distB="0" distL="114300" distR="114300" simplePos="0" relativeHeight="251661312" behindDoc="1" locked="0" layoutInCell="1" allowOverlap="1" wp14:anchorId="67B12191" wp14:editId="1161B0D7">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51F4A201" w14:textId="77777777" w:rsidR="00F474DA" w:rsidRPr="00B27C10" w:rsidRDefault="004C2F9B" w:rsidP="00677DD4">
                                <w:pPr>
                                  <w:pStyle w:val="SubHeader"/>
                                  <w:rPr>
                                    <w:color w:val="5083C9"/>
                                    <w:sz w:val="32"/>
                                    <w:szCs w:val="32"/>
                                  </w:rPr>
                                </w:pPr>
                                <w:r>
                                  <w:rPr>
                                    <w:color w:val="5083C9"/>
                                    <w:sz w:val="32"/>
                                    <w:szCs w:val="32"/>
                                  </w:rPr>
                                  <w:t>Examples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2F135338" w14:textId="77777777" w:rsidR="00F474DA" w:rsidRDefault="004C2F9B" w:rsidP="00E80A5C">
                              <w:pPr>
                                <w:pStyle w:val="BodyText"/>
                                <w:spacing w:after="120"/>
                              </w:pPr>
                              <w:r>
                                <w:t xml:space="preserve">Some of the main notice and disclosure requirements for group health plans are: </w:t>
                              </w:r>
                            </w:p>
                            <w:p w14:paraId="136C5FA4" w14:textId="77777777" w:rsidR="00F474DA" w:rsidRDefault="004C2F9B" w:rsidP="00E80A5C">
                              <w:pPr>
                                <w:pStyle w:val="Bullet"/>
                                <w:spacing w:after="120"/>
                                <w:ind w:left="360"/>
                                <w:jc w:val="left"/>
                              </w:pPr>
                              <w:r>
                                <w:t xml:space="preserve">The summary plan description (SPD) </w:t>
                              </w:r>
                            </w:p>
                            <w:p w14:paraId="3F9DD751" w14:textId="77777777" w:rsidR="00F474DA" w:rsidRDefault="004C2F9B" w:rsidP="00E80A5C">
                              <w:pPr>
                                <w:pStyle w:val="Bullet"/>
                                <w:spacing w:after="120"/>
                                <w:ind w:left="360"/>
                                <w:jc w:val="left"/>
                              </w:pPr>
                              <w:r>
                                <w:t>COBRA notices</w:t>
                              </w:r>
                            </w:p>
                            <w:p w14:paraId="255A15DE" w14:textId="77777777" w:rsidR="00F474DA" w:rsidRDefault="004C2F9B" w:rsidP="00E80A5C">
                              <w:pPr>
                                <w:pStyle w:val="Bullet"/>
                                <w:spacing w:after="120"/>
                                <w:ind w:left="360"/>
                                <w:jc w:val="left"/>
                              </w:pPr>
                              <w:r>
                                <w:t xml:space="preserve">ACA employee statements </w:t>
                              </w:r>
                            </w:p>
                            <w:p w14:paraId="0C05BE84" w14:textId="77777777" w:rsidR="00F474DA" w:rsidRDefault="004C2F9B" w:rsidP="00E80A5C">
                              <w:pPr>
                                <w:pStyle w:val="Bullet"/>
                                <w:spacing w:after="120"/>
                                <w:ind w:left="360"/>
                                <w:jc w:val="left"/>
                              </w:pPr>
                              <w:r>
                                <w:t>Medicare Part D notices of creditable coverage</w:t>
                              </w:r>
                            </w:p>
                            <w:p w14:paraId="536A91C3" w14:textId="77777777" w:rsidR="00F474DA" w:rsidRDefault="004C2F9B" w:rsidP="00E80A5C">
                              <w:pPr>
                                <w:pStyle w:val="Bullet"/>
                                <w:spacing w:after="120"/>
                                <w:ind w:left="360"/>
                                <w:jc w:val="left"/>
                              </w:pPr>
                              <w:r>
                                <w:t>Form 5500</w:t>
                              </w:r>
                            </w:p>
                          </w:txbxContent>
                        </wps:txbx>
                        <wps:bodyPr rot="0" vert="horz" wrap="square" anchor="t" anchorCtr="0"/>
                      </wps:wsp>
                    </wpg:wgp>
                  </a:graphicData>
                </a:graphic>
              </wp:anchor>
            </w:drawing>
          </mc:Choice>
          <mc:Fallback>
            <w:pict>
              <v:group w14:anchorId="67B12191" id="Group 10" o:spid="_x0000_s1031"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">
                <v:group id="Group 8" o:spid="_x0000_s1032"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3"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4"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1F4A201" w14:textId="77777777" w:rsidR="00F474DA" w:rsidRPr="00B27C10" w:rsidRDefault="004C2F9B" w:rsidP="00677DD4">
                          <w:pPr>
                            <w:pStyle w:val="SubHeader"/>
                            <w:rPr>
                              <w:color w:val="5083C9"/>
                              <w:sz w:val="32"/>
                              <w:szCs w:val="32"/>
                            </w:rPr>
                          </w:pPr>
                          <w:r>
                            <w:rPr>
                              <w:color w:val="5083C9"/>
                              <w:sz w:val="32"/>
                              <w:szCs w:val="32"/>
                            </w:rPr>
                            <w:t>Examples</w:t>
                          </w:r>
                        </w:p>
                      </w:txbxContent>
                    </v:textbox>
                  </v:shape>
                </v:group>
                <v:shape id="Text Box 2" o:spid="_x0000_s1035"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F135338" w14:textId="77777777" w:rsidR="00F474DA" w:rsidRDefault="004C2F9B" w:rsidP="00E80A5C">
                        <w:pPr>
                          <w:pStyle w:val="BodyText"/>
                          <w:spacing w:after="120"/>
                        </w:pPr>
                        <w:r>
                          <w:t xml:space="preserve">Some of the main notice and disclosure requirements for group health plans are: </w:t>
                        </w:r>
                      </w:p>
                      <w:p w14:paraId="136C5FA4" w14:textId="77777777" w:rsidR="00F474DA" w:rsidRDefault="004C2F9B" w:rsidP="00E80A5C">
                        <w:pPr>
                          <w:pStyle w:val="Bullet"/>
                          <w:spacing w:after="120"/>
                          <w:ind w:left="360"/>
                          <w:jc w:val="left"/>
                        </w:pPr>
                        <w:r>
                          <w:t xml:space="preserve">The summary plan description (SPD) </w:t>
                        </w:r>
                      </w:p>
                      <w:p w14:paraId="3F9DD751" w14:textId="77777777" w:rsidR="00F474DA" w:rsidRDefault="004C2F9B" w:rsidP="00E80A5C">
                        <w:pPr>
                          <w:pStyle w:val="Bullet"/>
                          <w:spacing w:after="120"/>
                          <w:ind w:left="360"/>
                          <w:jc w:val="left"/>
                        </w:pPr>
                        <w:r>
                          <w:t>COBRA notices</w:t>
                        </w:r>
                      </w:p>
                      <w:p w14:paraId="255A15DE" w14:textId="77777777" w:rsidR="00F474DA" w:rsidRDefault="004C2F9B" w:rsidP="00E80A5C">
                        <w:pPr>
                          <w:pStyle w:val="Bullet"/>
                          <w:spacing w:after="120"/>
                          <w:ind w:left="360"/>
                          <w:jc w:val="left"/>
                        </w:pPr>
                        <w:r>
                          <w:t xml:space="preserve">ACA employee statements </w:t>
                        </w:r>
                      </w:p>
                      <w:p w14:paraId="0C05BE84" w14:textId="77777777" w:rsidR="00F474DA" w:rsidRDefault="004C2F9B" w:rsidP="00E80A5C">
                        <w:pPr>
                          <w:pStyle w:val="Bullet"/>
                          <w:spacing w:after="120"/>
                          <w:ind w:left="360"/>
                          <w:jc w:val="left"/>
                        </w:pPr>
                        <w:r>
                          <w:t>Medicare Part D notices of creditable coverage</w:t>
                        </w:r>
                      </w:p>
                      <w:p w14:paraId="536A91C3" w14:textId="77777777" w:rsidR="00F474DA" w:rsidRDefault="004C2F9B" w:rsidP="00E80A5C">
                        <w:pPr>
                          <w:pStyle w:val="Bullet"/>
                          <w:spacing w:after="120"/>
                          <w:ind w:left="360"/>
                          <w:jc w:val="left"/>
                        </w:pPr>
                        <w:r>
                          <w:t>Form 5500</w:t>
                        </w:r>
                      </w:p>
                    </w:txbxContent>
                  </v:textbox>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6BC9D090" wp14:editId="385327D0">
                <wp:simplePos x="0" y="0"/>
                <wp:positionH relativeFrom="margin">
                  <wp:posOffset>-9144</wp:posOffset>
                </wp:positionH>
                <wp:positionV relativeFrom="page">
                  <wp:posOffset>6016752</wp:posOffset>
                </wp:positionV>
                <wp:extent cx="4356735" cy="2151380"/>
                <wp:effectExtent l="0" t="0" r="5715" b="127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151380"/>
                        </a:xfrm>
                        <a:prstGeom prst="rect">
                          <a:avLst/>
                        </a:prstGeom>
                        <a:solidFill>
                          <a:srgbClr val="5083C9">
                            <a:alpha val="10000"/>
                          </a:srgbClr>
                        </a:solidFill>
                        <a:ln w="38100">
                          <a:noFill/>
                          <a:miter lim="800000"/>
                          <a:headEnd/>
                          <a:tailEnd/>
                        </a:ln>
                      </wps:spPr>
                      <wps:txbx>
                        <w:txbxContent>
                          <w:p w14:paraId="150A8E69" w14:textId="77777777" w:rsidR="00F474DA" w:rsidRPr="008C01A9" w:rsidRDefault="004C2F9B" w:rsidP="00A95ADA">
                            <w:pPr>
                              <w:pStyle w:val="LR-Heading"/>
                              <w:rPr>
                                <w:color w:val="5083C9"/>
                              </w:rPr>
                            </w:pPr>
                            <w:r w:rsidRPr="008C01A9">
                              <w:rPr>
                                <w:color w:val="5083C9"/>
                              </w:rPr>
                              <w:t>Links and Resources</w:t>
                            </w:r>
                          </w:p>
                          <w:p w14:paraId="5105FEF3" w14:textId="77777777" w:rsidR="00F474DA" w:rsidRDefault="004C2F9B" w:rsidP="00326C45">
                            <w:pPr>
                              <w:pStyle w:val="LR-BulletList"/>
                            </w:pPr>
                            <w:r>
                              <w:t xml:space="preserve">Department of Labor’s (DOL) </w:t>
                            </w:r>
                            <w:hyperlink r:id="rId10" w:history="1">
                              <w:r w:rsidRPr="00E80A5C">
                                <w:rPr>
                                  <w:rStyle w:val="Hyperlink"/>
                                </w:rPr>
                                <w:t>website</w:t>
                              </w:r>
                            </w:hyperlink>
                            <w:r>
                              <w:t xml:space="preserve"> regarding compliance assistance for health plans, which includes links to many model forms and noti</w:t>
                            </w:r>
                            <w:r>
                              <w:t xml:space="preserve">ces. </w:t>
                            </w:r>
                          </w:p>
                          <w:p w14:paraId="6E12A1F1" w14:textId="77777777" w:rsidR="00F474DA" w:rsidRDefault="004C2F9B" w:rsidP="00E80A5C">
                            <w:pPr>
                              <w:pStyle w:val="LR-BulletList"/>
                            </w:pPr>
                            <w:r>
                              <w:t xml:space="preserve">Internal Revenue Service (IRS) </w:t>
                            </w:r>
                            <w:hyperlink r:id="rId11" w:history="1">
                              <w:r w:rsidRPr="00E80A5C">
                                <w:rPr>
                                  <w:rStyle w:val="Hyperlink"/>
                                </w:rPr>
                                <w:t>website</w:t>
                              </w:r>
                            </w:hyperlink>
                            <w:r>
                              <w:t xml:space="preserve"> for tax forms and instructions. </w:t>
                            </w:r>
                          </w:p>
                          <w:p w14:paraId="5BDB8971" w14:textId="77777777" w:rsidR="00F474DA" w:rsidRPr="007201D3" w:rsidRDefault="004C2F9B" w:rsidP="00E80A5C">
                            <w:pPr>
                              <w:pStyle w:val="LR-BulletList"/>
                            </w:pPr>
                            <w:r>
                              <w:t xml:space="preserve">Center for Medicare and Medicaid Services’ (CMS) </w:t>
                            </w:r>
                            <w:hyperlink r:id="rId12" w:history="1">
                              <w:r w:rsidRPr="00E80A5C">
                                <w:rPr>
                                  <w:rStyle w:val="Hyperlink"/>
                                </w:rPr>
                                <w:t>website</w:t>
                              </w:r>
                            </w:hyperlink>
                            <w:r>
                              <w:t xml:space="preserve"> regarding Medicare Part D disclosures.</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6BC9D090" id="Text Box 21" o:spid="_x0000_s1036" type="#_x0000_t202" style="position:absolute;left:0;text-align:left;margin-left:-.7pt;margin-top:473.75pt;width:343.05pt;height:16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" fillcolor="#5083c9" stroked="f" strokeweight="3pt">
                <v:fill opacity="6682f"/>
                <v:textbox inset=",0">
                  <w:txbxContent>
                    <w:p w14:paraId="150A8E69" w14:textId="77777777" w:rsidR="00F474DA" w:rsidRPr="008C01A9" w:rsidRDefault="004C2F9B" w:rsidP="00A95ADA">
                      <w:pPr>
                        <w:pStyle w:val="LR-Heading"/>
                        <w:rPr>
                          <w:color w:val="5083C9"/>
                        </w:rPr>
                      </w:pPr>
                      <w:r w:rsidRPr="008C01A9">
                        <w:rPr>
                          <w:color w:val="5083C9"/>
                        </w:rPr>
                        <w:t>Links and Resources</w:t>
                      </w:r>
                    </w:p>
                    <w:p w14:paraId="5105FEF3" w14:textId="77777777" w:rsidR="00F474DA" w:rsidRDefault="004C2F9B" w:rsidP="00326C45">
                      <w:pPr>
                        <w:pStyle w:val="LR-BulletList"/>
                      </w:pPr>
                      <w:r>
                        <w:t xml:space="preserve">Department of Labor’s (DOL) </w:t>
                      </w:r>
                      <w:hyperlink r:id="rId13" w:history="1">
                        <w:r w:rsidRPr="00E80A5C">
                          <w:rPr>
                            <w:rStyle w:val="Hyperlink"/>
                          </w:rPr>
                          <w:t>website</w:t>
                        </w:r>
                      </w:hyperlink>
                      <w:r>
                        <w:t xml:space="preserve"> regarding compliance assistance for health plans, which includes links to many model forms and noti</w:t>
                      </w:r>
                      <w:r>
                        <w:t xml:space="preserve">ces. </w:t>
                      </w:r>
                    </w:p>
                    <w:p w14:paraId="6E12A1F1" w14:textId="77777777" w:rsidR="00F474DA" w:rsidRDefault="004C2F9B" w:rsidP="00E80A5C">
                      <w:pPr>
                        <w:pStyle w:val="LR-BulletList"/>
                      </w:pPr>
                      <w:r>
                        <w:t xml:space="preserve">Internal Revenue Service (IRS) </w:t>
                      </w:r>
                      <w:hyperlink r:id="rId14" w:history="1">
                        <w:r w:rsidRPr="00E80A5C">
                          <w:rPr>
                            <w:rStyle w:val="Hyperlink"/>
                          </w:rPr>
                          <w:t>website</w:t>
                        </w:r>
                      </w:hyperlink>
                      <w:r>
                        <w:t xml:space="preserve"> for tax forms and instructions. </w:t>
                      </w:r>
                    </w:p>
                    <w:p w14:paraId="5BDB8971" w14:textId="77777777" w:rsidR="00F474DA" w:rsidRPr="007201D3" w:rsidRDefault="004C2F9B" w:rsidP="00E80A5C">
                      <w:pPr>
                        <w:pStyle w:val="LR-BulletList"/>
                      </w:pPr>
                      <w:r>
                        <w:t xml:space="preserve">Center for Medicare and Medicaid Services’ (CMS) </w:t>
                      </w:r>
                      <w:hyperlink r:id="rId15" w:history="1">
                        <w:r w:rsidRPr="00E80A5C">
                          <w:rPr>
                            <w:rStyle w:val="Hyperlink"/>
                          </w:rPr>
                          <w:t>website</w:t>
                        </w:r>
                      </w:hyperlink>
                      <w:r>
                        <w:t xml:space="preserve"> regarding Medicare Part D disclosures.</w:t>
                      </w:r>
                    </w:p>
                  </w:txbxContent>
                </v:textbox>
                <w10:wrap type="topAndBottom" anchorx="margin" anchory="page"/>
              </v:shape>
            </w:pict>
          </mc:Fallback>
        </mc:AlternateContent>
      </w:r>
      <w:r w:rsidR="000847AD">
        <w:rPr>
          <w:noProof/>
        </w:rPr>
        <mc:AlternateContent>
          <mc:Choice Requires="wps">
            <w:drawing>
              <wp:anchor distT="0" distB="0" distL="114300" distR="114300" simplePos="0" relativeHeight="251660288" behindDoc="0" locked="0" layoutInCell="1" allowOverlap="1" wp14:anchorId="692B2802" wp14:editId="37AABF93">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4FF6FEAA" w14:textId="77777777" w:rsidR="00F474DA" w:rsidRPr="000847AD" w:rsidRDefault="004C2F9B"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2B2802"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4FF6FEAA" w14:textId="77777777" w:rsidR="00F474DA" w:rsidRPr="000847AD" w:rsidRDefault="004C2F9B"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p>
    <w:p w14:paraId="3078B422" w14:textId="77777777" w:rsidR="00731A58" w:rsidRPr="00731A58" w:rsidRDefault="00731A58" w:rsidP="00731A58">
      <w:pPr>
        <w:pStyle w:val="Bullet"/>
        <w:numPr>
          <w:ilvl w:val="0"/>
          <w:numId w:val="0"/>
        </w:numPr>
        <w:ind w:left="1440"/>
        <w:rPr>
          <w:rStyle w:val="BulletChar"/>
        </w:rPr>
      </w:pPr>
    </w:p>
    <w:p w14:paraId="21A34376" w14:textId="77777777" w:rsidR="00A357CD" w:rsidRPr="00C84C66" w:rsidRDefault="004C2F9B" w:rsidP="004967FA">
      <w:pPr>
        <w:pStyle w:val="BodyText"/>
        <w:rPr>
          <w:b/>
          <w:color w:val="FFFFFF" w:themeColor="background1"/>
        </w:rPr>
        <w:sectPr w:rsidR="00A357CD" w:rsidRPr="00C84C66" w:rsidSect="008A7E71">
          <w:headerReference w:type="default" r:id="rId16"/>
          <w:footerReference w:type="default" r:id="rId17"/>
          <w:pgSz w:w="12240" w:h="15840"/>
          <w:pgMar w:top="3946" w:right="4680" w:bottom="1440" w:left="720" w:header="720" w:footer="720" w:gutter="0"/>
          <w:cols w:space="720"/>
          <w:docGrid w:linePitch="360"/>
        </w:sectPr>
      </w:pPr>
      <w:r w:rsidRPr="00C84C66">
        <w:rPr>
          <w:b/>
          <w:color w:val="FFFFFF" w:themeColor="background1"/>
        </w:rPr>
        <w:t>plans are enforced.</w:t>
      </w:r>
      <w:r w:rsidR="00E6115F" w:rsidRPr="00C84C66">
        <w:rPr>
          <w:b/>
          <w:noProof/>
          <w:color w:val="FFFFFF" w:themeColor="background1"/>
        </w:rPr>
        <w:t xml:space="preserve"> </w:t>
      </w:r>
    </w:p>
    <w:p w14:paraId="0F5FC7CF" w14:textId="77777777" w:rsidR="00E80A5C" w:rsidRDefault="004C2F9B" w:rsidP="007F7440">
      <w:pPr>
        <w:pStyle w:val="SubHeader"/>
        <w:spacing w:after="240"/>
      </w:pPr>
      <w:r>
        <w:lastRenderedPageBreak/>
        <w:t>Notice and Disclosure Rules</w:t>
      </w:r>
    </w:p>
    <w:tbl>
      <w:tblPr>
        <w:tblW w:w="10710" w:type="dxa"/>
        <w:jc w:val="center"/>
        <w:tblBorders>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1732"/>
        <w:gridCol w:w="1688"/>
        <w:gridCol w:w="2835"/>
        <w:gridCol w:w="4455"/>
      </w:tblGrid>
      <w:tr w:rsidR="00960533" w14:paraId="4BFF9C6B" w14:textId="77777777" w:rsidTr="007F7440">
        <w:trPr>
          <w:trHeight w:val="350"/>
          <w:tblHeader/>
          <w:jc w:val="center"/>
        </w:trPr>
        <w:tc>
          <w:tcPr>
            <w:tcW w:w="1732" w:type="dxa"/>
            <w:shd w:val="clear" w:color="auto" w:fill="5083C9"/>
            <w:vAlign w:val="center"/>
          </w:tcPr>
          <w:p w14:paraId="6880FDAE" w14:textId="77777777" w:rsidR="007F7440" w:rsidRPr="00311E37" w:rsidRDefault="004C2F9B" w:rsidP="007F7440">
            <w:pPr>
              <w:spacing w:before="60" w:after="60"/>
              <w:jc w:val="center"/>
              <w:rPr>
                <w:b/>
                <w:color w:val="FFFFFF"/>
              </w:rPr>
            </w:pPr>
            <w:r w:rsidRPr="00311E37">
              <w:rPr>
                <w:b/>
                <w:color w:val="FFFFFF"/>
              </w:rPr>
              <w:t>LAW</w:t>
            </w:r>
          </w:p>
        </w:tc>
        <w:tc>
          <w:tcPr>
            <w:tcW w:w="1688" w:type="dxa"/>
            <w:shd w:val="clear" w:color="auto" w:fill="5083C9"/>
            <w:vAlign w:val="center"/>
          </w:tcPr>
          <w:p w14:paraId="3790DFDE" w14:textId="77777777" w:rsidR="007F7440" w:rsidRPr="00311E37" w:rsidRDefault="004C2F9B" w:rsidP="007F7440">
            <w:pPr>
              <w:spacing w:before="60" w:after="60"/>
              <w:jc w:val="center"/>
              <w:rPr>
                <w:b/>
                <w:color w:val="FFFFFF"/>
              </w:rPr>
            </w:pPr>
            <w:r w:rsidRPr="00311E37">
              <w:rPr>
                <w:b/>
                <w:color w:val="FFFFFF"/>
              </w:rPr>
              <w:t>GOVERNS</w:t>
            </w:r>
          </w:p>
        </w:tc>
        <w:tc>
          <w:tcPr>
            <w:tcW w:w="2835" w:type="dxa"/>
            <w:shd w:val="clear" w:color="auto" w:fill="5083C9"/>
            <w:vAlign w:val="center"/>
          </w:tcPr>
          <w:p w14:paraId="4BE91174" w14:textId="77777777" w:rsidR="007F7440" w:rsidRPr="00311E37" w:rsidRDefault="004C2F9B" w:rsidP="007F7440">
            <w:pPr>
              <w:spacing w:before="60" w:after="60"/>
              <w:jc w:val="center"/>
              <w:rPr>
                <w:b/>
                <w:color w:val="FFFFFF"/>
              </w:rPr>
            </w:pPr>
            <w:r w:rsidRPr="00311E37">
              <w:rPr>
                <w:b/>
                <w:color w:val="FFFFFF"/>
              </w:rPr>
              <w:t>NOTICE REQUIREMENT</w:t>
            </w:r>
          </w:p>
        </w:tc>
        <w:tc>
          <w:tcPr>
            <w:tcW w:w="4455" w:type="dxa"/>
            <w:shd w:val="clear" w:color="auto" w:fill="5083C9"/>
            <w:vAlign w:val="center"/>
          </w:tcPr>
          <w:p w14:paraId="474F65C2" w14:textId="77777777" w:rsidR="007F7440" w:rsidRPr="00311E37" w:rsidRDefault="004C2F9B" w:rsidP="007F7440">
            <w:pPr>
              <w:spacing w:before="60" w:after="60"/>
              <w:jc w:val="center"/>
              <w:rPr>
                <w:b/>
                <w:color w:val="FFFFFF"/>
              </w:rPr>
            </w:pPr>
            <w:r w:rsidRPr="00311E37">
              <w:rPr>
                <w:b/>
                <w:color w:val="FFFFFF"/>
              </w:rPr>
              <w:t>SUMMARY</w:t>
            </w:r>
          </w:p>
        </w:tc>
      </w:tr>
      <w:tr w:rsidR="00960533" w14:paraId="09CB091F" w14:textId="77777777" w:rsidTr="00F474DA">
        <w:trPr>
          <w:jc w:val="center"/>
        </w:trPr>
        <w:tc>
          <w:tcPr>
            <w:tcW w:w="1732" w:type="dxa"/>
            <w:vMerge w:val="restart"/>
            <w:shd w:val="clear" w:color="auto" w:fill="EDEDED" w:themeFill="accent3" w:themeFillTint="33"/>
            <w:vAlign w:val="center"/>
          </w:tcPr>
          <w:p w14:paraId="28207FA7" w14:textId="77777777" w:rsidR="007F7440" w:rsidRPr="00311E37" w:rsidRDefault="004C2F9B" w:rsidP="007F7440">
            <w:pPr>
              <w:spacing w:before="60" w:after="60"/>
              <w:jc w:val="center"/>
              <w:rPr>
                <w:b/>
                <w:color w:val="32607A"/>
              </w:rPr>
            </w:pPr>
            <w:r w:rsidRPr="007F7440">
              <w:rPr>
                <w:b/>
                <w:color w:val="5083C9"/>
              </w:rPr>
              <w:t>Affordable Care Act</w:t>
            </w:r>
          </w:p>
        </w:tc>
        <w:tc>
          <w:tcPr>
            <w:tcW w:w="1688" w:type="dxa"/>
            <w:vMerge w:val="restart"/>
            <w:shd w:val="clear" w:color="auto" w:fill="EDEDED" w:themeFill="accent3" w:themeFillTint="33"/>
            <w:vAlign w:val="center"/>
          </w:tcPr>
          <w:p w14:paraId="01CDE7CA" w14:textId="77777777" w:rsidR="007F7440" w:rsidRPr="00311E37" w:rsidRDefault="004C2F9B" w:rsidP="007F7440">
            <w:pPr>
              <w:spacing w:before="60" w:after="60"/>
              <w:jc w:val="center"/>
              <w:rPr>
                <w:bCs/>
                <w:color w:val="595959"/>
              </w:rPr>
            </w:pPr>
            <w:r w:rsidRPr="00311E37">
              <w:rPr>
                <w:bCs/>
                <w:color w:val="595959"/>
              </w:rPr>
              <w:t>Group health plans and health insurance  issuers</w:t>
            </w:r>
          </w:p>
        </w:tc>
        <w:tc>
          <w:tcPr>
            <w:tcW w:w="2835" w:type="dxa"/>
            <w:shd w:val="clear" w:color="auto" w:fill="EDEDED" w:themeFill="accent3" w:themeFillTint="33"/>
          </w:tcPr>
          <w:p w14:paraId="5341D3C0" w14:textId="77777777" w:rsidR="007F7440" w:rsidRPr="00311E37" w:rsidRDefault="004C2F9B" w:rsidP="007F7440">
            <w:pPr>
              <w:spacing w:before="60" w:after="60"/>
              <w:rPr>
                <w:b/>
                <w:i/>
                <w:color w:val="595959"/>
              </w:rPr>
            </w:pPr>
            <w:r w:rsidRPr="007F7440">
              <w:rPr>
                <w:b/>
                <w:color w:val="5083C9"/>
              </w:rPr>
              <w:t>Statement of grandfathered status</w:t>
            </w:r>
            <w:r w:rsidRPr="00311E37">
              <w:rPr>
                <w:b/>
                <w:color w:val="595959"/>
              </w:rPr>
              <w:t>—</w:t>
            </w:r>
            <w:r w:rsidRPr="00311E37">
              <w:rPr>
                <w:color w:val="595959"/>
              </w:rPr>
              <w:t>Plan administrator or issuer must provide on a periodic basis with any participant materials describing plan benefits</w:t>
            </w:r>
            <w:r w:rsidRPr="00311E37">
              <w:rPr>
                <w:b/>
                <w:i/>
                <w:color w:val="595959"/>
              </w:rPr>
              <w:t xml:space="preserve">  </w:t>
            </w:r>
          </w:p>
        </w:tc>
        <w:tc>
          <w:tcPr>
            <w:tcW w:w="4455" w:type="dxa"/>
            <w:shd w:val="clear" w:color="auto" w:fill="EDEDED" w:themeFill="accent3" w:themeFillTint="33"/>
          </w:tcPr>
          <w:p w14:paraId="1F653C67" w14:textId="77777777" w:rsidR="007F7440" w:rsidRPr="00311E37" w:rsidRDefault="004C2F9B" w:rsidP="007F7440">
            <w:pPr>
              <w:spacing w:before="60" w:after="60"/>
              <w:rPr>
                <w:bCs/>
                <w:color w:val="595959"/>
              </w:rPr>
            </w:pPr>
            <w:r w:rsidRPr="00311E37">
              <w:rPr>
                <w:bCs/>
                <w:color w:val="595959"/>
              </w:rPr>
              <w:t>To maintain grandfathered plan status, a plan adminis</w:t>
            </w:r>
            <w:r w:rsidRPr="00311E37">
              <w:rPr>
                <w:bCs/>
                <w:color w:val="595959"/>
              </w:rPr>
              <w:t>trator or health issuer must include a statement of grandfathered status in plan materials provided to participants describing the plan’s benefits (such as</w:t>
            </w:r>
            <w:r>
              <w:rPr>
                <w:bCs/>
                <w:color w:val="595959"/>
              </w:rPr>
              <w:t xml:space="preserve"> the SPD</w:t>
            </w:r>
            <w:r w:rsidRPr="00311E37">
              <w:rPr>
                <w:bCs/>
                <w:color w:val="595959"/>
              </w:rPr>
              <w:t xml:space="preserve"> and open enrollment materials). A</w:t>
            </w:r>
            <w:r>
              <w:rPr>
                <w:bCs/>
                <w:color w:val="595959"/>
              </w:rPr>
              <w:t xml:space="preserve"> </w:t>
            </w:r>
            <w:hyperlink r:id="rId18" w:history="1">
              <w:r>
                <w:rPr>
                  <w:rStyle w:val="Hyperlink"/>
                  <w:bCs/>
                </w:rPr>
                <w:t>model notice</w:t>
              </w:r>
            </w:hyperlink>
            <w:r w:rsidRPr="00311E37">
              <w:rPr>
                <w:bCs/>
                <w:color w:val="595959"/>
              </w:rPr>
              <w:t xml:space="preserve"> is available from the DOL. </w:t>
            </w:r>
          </w:p>
        </w:tc>
      </w:tr>
      <w:tr w:rsidR="00960533" w14:paraId="7620C443" w14:textId="77777777" w:rsidTr="00F474DA">
        <w:trPr>
          <w:trHeight w:val="1263"/>
          <w:jc w:val="center"/>
        </w:trPr>
        <w:tc>
          <w:tcPr>
            <w:tcW w:w="1732" w:type="dxa"/>
            <w:vMerge/>
            <w:shd w:val="clear" w:color="auto" w:fill="EDEDED" w:themeFill="accent3" w:themeFillTint="33"/>
          </w:tcPr>
          <w:p w14:paraId="4D29AB99"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52A8F568" w14:textId="77777777" w:rsidR="007F7440" w:rsidRPr="00311E37" w:rsidRDefault="007F7440" w:rsidP="007F7440">
            <w:pPr>
              <w:spacing w:before="60" w:after="60"/>
              <w:rPr>
                <w:bCs/>
                <w:color w:val="595959"/>
              </w:rPr>
            </w:pPr>
          </w:p>
        </w:tc>
        <w:tc>
          <w:tcPr>
            <w:tcW w:w="2835" w:type="dxa"/>
            <w:shd w:val="clear" w:color="auto" w:fill="EDEDED" w:themeFill="accent3" w:themeFillTint="33"/>
          </w:tcPr>
          <w:p w14:paraId="36DB750B" w14:textId="77777777" w:rsidR="007F7440" w:rsidRPr="00311E37" w:rsidRDefault="004C2F9B" w:rsidP="007F7440">
            <w:pPr>
              <w:spacing w:before="60" w:after="60"/>
              <w:rPr>
                <w:i/>
                <w:color w:val="595959"/>
              </w:rPr>
            </w:pPr>
            <w:r w:rsidRPr="007F7440">
              <w:rPr>
                <w:b/>
                <w:color w:val="5083C9"/>
              </w:rPr>
              <w:t>Notice of rescission</w:t>
            </w:r>
            <w:r w:rsidRPr="00311E37">
              <w:rPr>
                <w:color w:val="595959"/>
              </w:rPr>
              <w:t xml:space="preserve">—Plan administrator or issuer must provide notice of rescission to affected participants at </w:t>
            </w:r>
            <w:r w:rsidRPr="00311E37">
              <w:rPr>
                <w:color w:val="595959"/>
              </w:rPr>
              <w:t>least 30 days before the rescission occurs</w:t>
            </w:r>
          </w:p>
        </w:tc>
        <w:tc>
          <w:tcPr>
            <w:tcW w:w="4455" w:type="dxa"/>
            <w:shd w:val="clear" w:color="auto" w:fill="EDEDED" w:themeFill="accent3" w:themeFillTint="33"/>
          </w:tcPr>
          <w:p w14:paraId="1C25EDCE" w14:textId="77777777" w:rsidR="007F7440" w:rsidRPr="00311E37" w:rsidRDefault="004C2F9B" w:rsidP="007F7440">
            <w:pPr>
              <w:spacing w:before="60" w:after="60"/>
              <w:rPr>
                <w:bCs/>
                <w:color w:val="595959"/>
              </w:rPr>
            </w:pPr>
            <w:r w:rsidRPr="00311E37">
              <w:rPr>
                <w:bCs/>
                <w:color w:val="595959"/>
              </w:rPr>
              <w:t>Group health plans and health insurance issuers may not rescind coverage once the enrollee is covered, except in cases of fraud or intentional misrepresentation. Plan coverage may not be rescinded without prior no</w:t>
            </w:r>
            <w:r w:rsidRPr="00311E37">
              <w:rPr>
                <w:bCs/>
                <w:color w:val="595959"/>
              </w:rPr>
              <w:t>tice to the enrollee.</w:t>
            </w:r>
          </w:p>
        </w:tc>
      </w:tr>
      <w:tr w:rsidR="00960533" w14:paraId="03461D46" w14:textId="77777777" w:rsidTr="00F474DA">
        <w:trPr>
          <w:trHeight w:val="1223"/>
          <w:jc w:val="center"/>
        </w:trPr>
        <w:tc>
          <w:tcPr>
            <w:tcW w:w="1732" w:type="dxa"/>
            <w:vMerge/>
            <w:shd w:val="clear" w:color="auto" w:fill="EDEDED" w:themeFill="accent3" w:themeFillTint="33"/>
          </w:tcPr>
          <w:p w14:paraId="621622AB"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063CDC5B" w14:textId="77777777" w:rsidR="007F7440" w:rsidRPr="00311E37" w:rsidRDefault="007F7440" w:rsidP="007F7440">
            <w:pPr>
              <w:spacing w:before="60" w:after="60"/>
              <w:rPr>
                <w:bCs/>
                <w:color w:val="595959"/>
              </w:rPr>
            </w:pPr>
          </w:p>
        </w:tc>
        <w:tc>
          <w:tcPr>
            <w:tcW w:w="2835" w:type="dxa"/>
            <w:shd w:val="clear" w:color="auto" w:fill="EDEDED" w:themeFill="accent3" w:themeFillTint="33"/>
          </w:tcPr>
          <w:p w14:paraId="67DE478D" w14:textId="77777777" w:rsidR="007F7440" w:rsidRPr="00311E37" w:rsidRDefault="004C2F9B" w:rsidP="007F7440">
            <w:pPr>
              <w:spacing w:before="60" w:after="60"/>
              <w:rPr>
                <w:color w:val="595959"/>
              </w:rPr>
            </w:pPr>
            <w:r w:rsidRPr="007F7440">
              <w:rPr>
                <w:b/>
                <w:color w:val="5083C9"/>
              </w:rPr>
              <w:t>Notice of patient protections and selection of providers</w:t>
            </w:r>
            <w:r w:rsidRPr="00311E37">
              <w:rPr>
                <w:b/>
                <w:color w:val="595959"/>
              </w:rPr>
              <w:t>—</w:t>
            </w:r>
            <w:r w:rsidRPr="00311E37">
              <w:rPr>
                <w:color w:val="595959"/>
              </w:rPr>
              <w:t>Plan administrator or issuer must provide notice of patient protections whenever the SPD or similar description of benefits is provided to participants</w:t>
            </w:r>
          </w:p>
          <w:p w14:paraId="556BEAC7" w14:textId="77777777" w:rsidR="007F7440" w:rsidRPr="00311E37" w:rsidRDefault="007F7440" w:rsidP="007F7440">
            <w:pPr>
              <w:spacing w:before="60" w:after="60"/>
              <w:rPr>
                <w:bCs/>
                <w:color w:val="595959"/>
              </w:rPr>
            </w:pPr>
          </w:p>
        </w:tc>
        <w:tc>
          <w:tcPr>
            <w:tcW w:w="4455" w:type="dxa"/>
            <w:shd w:val="clear" w:color="auto" w:fill="EDEDED" w:themeFill="accent3" w:themeFillTint="33"/>
          </w:tcPr>
          <w:p w14:paraId="281AA61E" w14:textId="77777777" w:rsidR="007F7440" w:rsidRDefault="004C2F9B" w:rsidP="007F7440">
            <w:pPr>
              <w:spacing w:before="60" w:after="60"/>
              <w:rPr>
                <w:bCs/>
                <w:color w:val="595959"/>
              </w:rPr>
            </w:pPr>
            <w:r w:rsidRPr="00311E37">
              <w:rPr>
                <w:bCs/>
                <w:color w:val="595959"/>
              </w:rPr>
              <w:t>Group health plans and health insurance issuers that require designation of a participating primary care provider must permit each participant, beneficiary and enrollee to designate any available participating primary care provider (including a pediatricia</w:t>
            </w:r>
            <w:r w:rsidRPr="00311E37">
              <w:rPr>
                <w:bCs/>
                <w:color w:val="595959"/>
              </w:rPr>
              <w:t>n for children).  Group health plans and issuers that provide obstetrical/gynecological care and require a designation of a participating primary care provider may not require preauthorization or referral for obstetrical/gynecological care. These reforms d</w:t>
            </w:r>
            <w:r w:rsidRPr="00311E37">
              <w:rPr>
                <w:bCs/>
                <w:color w:val="595959"/>
              </w:rPr>
              <w:t xml:space="preserve">o not apply to grandfathered plans. </w:t>
            </w:r>
          </w:p>
          <w:p w14:paraId="21638DDD" w14:textId="77777777" w:rsidR="007F7440" w:rsidRPr="00311E37" w:rsidRDefault="004C2F9B" w:rsidP="007F7440">
            <w:pPr>
              <w:spacing w:before="60" w:after="60"/>
              <w:rPr>
                <w:bCs/>
                <w:color w:val="595959"/>
              </w:rPr>
            </w:pPr>
            <w:r w:rsidRPr="00444A5A">
              <w:rPr>
                <w:bCs/>
                <w:color w:val="595959"/>
              </w:rPr>
              <w:t>This notice is often included in the SPD or insurance certificate provided by the issuer (or otherwise provided with enrollment materials).</w:t>
            </w:r>
            <w:r>
              <w:rPr>
                <w:bCs/>
                <w:color w:val="595959"/>
              </w:rPr>
              <w:t xml:space="preserve"> </w:t>
            </w:r>
            <w:r w:rsidRPr="00311E37">
              <w:rPr>
                <w:bCs/>
                <w:color w:val="595959"/>
              </w:rPr>
              <w:t>A</w:t>
            </w:r>
            <w:r>
              <w:rPr>
                <w:bCs/>
                <w:color w:val="595959"/>
              </w:rPr>
              <w:t xml:space="preserve"> </w:t>
            </w:r>
            <w:hyperlink r:id="rId19" w:history="1">
              <w:r>
                <w:rPr>
                  <w:rStyle w:val="Hyperlink"/>
                  <w:bCs/>
                </w:rPr>
                <w:t>model notice</w:t>
              </w:r>
            </w:hyperlink>
            <w:r w:rsidRPr="00311E37">
              <w:rPr>
                <w:bCs/>
                <w:color w:val="595959"/>
              </w:rPr>
              <w:t xml:space="preserve"> is available from the DOL. </w:t>
            </w:r>
          </w:p>
        </w:tc>
      </w:tr>
      <w:tr w:rsidR="00960533" w14:paraId="3AEDC23D" w14:textId="77777777" w:rsidTr="00F474DA">
        <w:trPr>
          <w:trHeight w:val="548"/>
          <w:jc w:val="center"/>
        </w:trPr>
        <w:tc>
          <w:tcPr>
            <w:tcW w:w="1732" w:type="dxa"/>
            <w:vMerge/>
            <w:shd w:val="clear" w:color="auto" w:fill="EDEDED" w:themeFill="accent3" w:themeFillTint="33"/>
          </w:tcPr>
          <w:p w14:paraId="33DDAC92"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5A3221F9" w14:textId="77777777" w:rsidR="007F7440" w:rsidRPr="00311E37" w:rsidRDefault="007F7440" w:rsidP="007F7440">
            <w:pPr>
              <w:spacing w:before="60" w:after="60"/>
              <w:rPr>
                <w:bCs/>
                <w:color w:val="595959"/>
              </w:rPr>
            </w:pPr>
          </w:p>
        </w:tc>
        <w:tc>
          <w:tcPr>
            <w:tcW w:w="2835" w:type="dxa"/>
            <w:shd w:val="clear" w:color="auto" w:fill="EDEDED" w:themeFill="accent3" w:themeFillTint="33"/>
          </w:tcPr>
          <w:p w14:paraId="504E427F" w14:textId="77777777" w:rsidR="007F7440" w:rsidRPr="00311E37" w:rsidRDefault="004C2F9B" w:rsidP="007F7440">
            <w:pPr>
              <w:spacing w:before="60" w:after="60"/>
              <w:rPr>
                <w:color w:val="595959"/>
              </w:rPr>
            </w:pPr>
            <w:r w:rsidRPr="007F7440">
              <w:rPr>
                <w:b/>
                <w:color w:val="5083C9"/>
              </w:rPr>
              <w:t>Summary of benefits and coverage (SBC)</w:t>
            </w:r>
            <w:r w:rsidRPr="00311E37">
              <w:rPr>
                <w:color w:val="595959"/>
              </w:rPr>
              <w:t xml:space="preserve">—Plan administrator and issuer must provide to participants </w:t>
            </w:r>
            <w:r w:rsidRPr="00311E37">
              <w:rPr>
                <w:color w:val="595959"/>
              </w:rPr>
              <w:lastRenderedPageBreak/>
              <w:t>and beneficiaries at the following  times:</w:t>
            </w:r>
          </w:p>
          <w:p w14:paraId="6559D155" w14:textId="77777777" w:rsidR="007F7440" w:rsidRPr="00311E37" w:rsidRDefault="004C2F9B" w:rsidP="007F7440">
            <w:pPr>
              <w:numPr>
                <w:ilvl w:val="0"/>
                <w:numId w:val="19"/>
              </w:numPr>
              <w:spacing w:before="60" w:after="60"/>
              <w:ind w:left="230" w:hanging="180"/>
              <w:rPr>
                <w:color w:val="595959"/>
              </w:rPr>
            </w:pPr>
            <w:r w:rsidRPr="00311E37">
              <w:rPr>
                <w:color w:val="595959"/>
              </w:rPr>
              <w:t>With any written application materials distributed for enrollment;</w:t>
            </w:r>
          </w:p>
          <w:p w14:paraId="41C0A9DB" w14:textId="77777777" w:rsidR="007F7440" w:rsidRPr="00311E37" w:rsidRDefault="004C2F9B" w:rsidP="007F7440">
            <w:pPr>
              <w:numPr>
                <w:ilvl w:val="0"/>
                <w:numId w:val="19"/>
              </w:numPr>
              <w:spacing w:before="60" w:after="60"/>
              <w:ind w:left="230" w:hanging="180"/>
              <w:rPr>
                <w:color w:val="595959"/>
              </w:rPr>
            </w:pPr>
            <w:r w:rsidRPr="00311E37">
              <w:rPr>
                <w:color w:val="595959"/>
              </w:rPr>
              <w:t>If written application materials for enrollment are not provided, no later than when t</w:t>
            </w:r>
            <w:r w:rsidRPr="00311E37">
              <w:rPr>
                <w:color w:val="595959"/>
              </w:rPr>
              <w:t xml:space="preserve">he participant is first eligible to enroll in coverage; </w:t>
            </w:r>
          </w:p>
          <w:p w14:paraId="174119B1" w14:textId="77777777" w:rsidR="007F7440" w:rsidRPr="00311E37" w:rsidRDefault="004C2F9B" w:rsidP="007F7440">
            <w:pPr>
              <w:numPr>
                <w:ilvl w:val="0"/>
                <w:numId w:val="19"/>
              </w:numPr>
              <w:spacing w:before="60" w:after="60"/>
              <w:ind w:left="230" w:hanging="180"/>
              <w:rPr>
                <w:color w:val="595959"/>
              </w:rPr>
            </w:pPr>
            <w:r w:rsidRPr="00311E37">
              <w:rPr>
                <w:color w:val="595959"/>
              </w:rPr>
              <w:t>By the first day of coverage, if there was any change to the information that was provided upon application and before the first day of coverage;</w:t>
            </w:r>
          </w:p>
          <w:p w14:paraId="37835AB1" w14:textId="77777777" w:rsidR="007F7440" w:rsidRPr="00311E37" w:rsidRDefault="004C2F9B" w:rsidP="007F7440">
            <w:pPr>
              <w:numPr>
                <w:ilvl w:val="0"/>
                <w:numId w:val="19"/>
              </w:numPr>
              <w:spacing w:before="60" w:after="60"/>
              <w:ind w:left="230" w:hanging="180"/>
              <w:rPr>
                <w:color w:val="595959"/>
              </w:rPr>
            </w:pPr>
            <w:r w:rsidRPr="00311E37">
              <w:rPr>
                <w:color w:val="595959"/>
              </w:rPr>
              <w:t xml:space="preserve">To special enrollees, no later than the deadline for </w:t>
            </w:r>
            <w:r w:rsidRPr="00311E37">
              <w:rPr>
                <w:color w:val="595959"/>
              </w:rPr>
              <w:t>providing the SPD;</w:t>
            </w:r>
          </w:p>
          <w:p w14:paraId="453B0567" w14:textId="77777777" w:rsidR="007F7440" w:rsidRPr="00311E37" w:rsidRDefault="004C2F9B" w:rsidP="007F7440">
            <w:pPr>
              <w:numPr>
                <w:ilvl w:val="0"/>
                <w:numId w:val="19"/>
              </w:numPr>
              <w:spacing w:before="60" w:after="60"/>
              <w:ind w:left="230" w:hanging="180"/>
              <w:rPr>
                <w:color w:val="595959"/>
              </w:rPr>
            </w:pPr>
            <w:r w:rsidRPr="00311E37">
              <w:rPr>
                <w:color w:val="595959"/>
              </w:rPr>
              <w:t>Upon renewal, if participants and beneficiaries must renew to maintain coverage; and</w:t>
            </w:r>
          </w:p>
          <w:p w14:paraId="044B16BD" w14:textId="77777777" w:rsidR="007F7440" w:rsidRPr="00311E37" w:rsidRDefault="004C2F9B" w:rsidP="007F7440">
            <w:pPr>
              <w:numPr>
                <w:ilvl w:val="0"/>
                <w:numId w:val="19"/>
              </w:numPr>
              <w:spacing w:before="60" w:after="60"/>
              <w:ind w:left="230" w:hanging="180"/>
              <w:rPr>
                <w:b/>
                <w:i/>
                <w:color w:val="595959"/>
              </w:rPr>
            </w:pPr>
            <w:r w:rsidRPr="00311E37">
              <w:rPr>
                <w:color w:val="595959"/>
              </w:rPr>
              <w:t xml:space="preserve">Upon request.  </w:t>
            </w:r>
          </w:p>
        </w:tc>
        <w:tc>
          <w:tcPr>
            <w:tcW w:w="4455" w:type="dxa"/>
            <w:shd w:val="clear" w:color="auto" w:fill="EDEDED" w:themeFill="accent3" w:themeFillTint="33"/>
          </w:tcPr>
          <w:p w14:paraId="4FB40DBA" w14:textId="77777777" w:rsidR="007F7440" w:rsidRPr="00311E37" w:rsidRDefault="004C2F9B" w:rsidP="007F7440">
            <w:pPr>
              <w:spacing w:before="60" w:after="60"/>
              <w:rPr>
                <w:bCs/>
                <w:color w:val="595959"/>
              </w:rPr>
            </w:pPr>
            <w:r w:rsidRPr="00311E37">
              <w:rPr>
                <w:bCs/>
                <w:color w:val="595959"/>
              </w:rPr>
              <w:lastRenderedPageBreak/>
              <w:t>Group health plans are required to provide a uniform summary of the plan’s benefits and coverage to applicants and enrollees. The Depart</w:t>
            </w:r>
            <w:r w:rsidRPr="00311E37">
              <w:rPr>
                <w:bCs/>
                <w:color w:val="595959"/>
              </w:rPr>
              <w:t xml:space="preserve">ments of Labor, Health and Human Services and the Treasury (Departments) have </w:t>
            </w:r>
            <w:r w:rsidRPr="00311E37">
              <w:rPr>
                <w:bCs/>
                <w:color w:val="595959"/>
              </w:rPr>
              <w:lastRenderedPageBreak/>
              <w:t>provided a template for t</w:t>
            </w:r>
            <w:r>
              <w:rPr>
                <w:bCs/>
                <w:color w:val="595959"/>
              </w:rPr>
              <w:t>he SBC</w:t>
            </w:r>
            <w:r w:rsidRPr="00311E37">
              <w:rPr>
                <w:bCs/>
                <w:color w:val="595959"/>
              </w:rPr>
              <w:t xml:space="preserve"> that plans and issuers must use, as well as additional instructional guidance and sample language for completing the template. The Departments hav</w:t>
            </w:r>
            <w:r w:rsidRPr="00311E37">
              <w:rPr>
                <w:bCs/>
                <w:color w:val="595959"/>
              </w:rPr>
              <w:t xml:space="preserve">e also provided a uniform glossary of health-coverage-related terms and medical terms for plans and issuers to make available to plan participants and beneficiaries. </w:t>
            </w:r>
          </w:p>
          <w:p w14:paraId="497F73D5" w14:textId="77777777" w:rsidR="007F7440" w:rsidRDefault="004C2F9B" w:rsidP="007F7440">
            <w:pPr>
              <w:spacing w:before="60" w:after="60"/>
              <w:rPr>
                <w:bCs/>
                <w:color w:val="595959"/>
              </w:rPr>
            </w:pPr>
            <w:r w:rsidRPr="00311E37">
              <w:rPr>
                <w:bCs/>
                <w:color w:val="595959"/>
              </w:rPr>
              <w:t>The template, glossary and other related guidance are available on the DOL’s</w:t>
            </w:r>
            <w:r>
              <w:rPr>
                <w:bCs/>
                <w:color w:val="595959"/>
              </w:rPr>
              <w:t xml:space="preserve"> </w:t>
            </w:r>
            <w:hyperlink r:id="rId20" w:history="1">
              <w:r>
                <w:rPr>
                  <w:rStyle w:val="Hyperlink"/>
                  <w:bCs/>
                </w:rPr>
                <w:t>website</w:t>
              </w:r>
            </w:hyperlink>
            <w:r w:rsidRPr="00311E37">
              <w:rPr>
                <w:bCs/>
                <w:color w:val="595959"/>
              </w:rPr>
              <w:t xml:space="preserve">.  </w:t>
            </w:r>
          </w:p>
          <w:p w14:paraId="398B955C" w14:textId="77777777" w:rsidR="007F7440" w:rsidRPr="00311E37" w:rsidRDefault="004C2F9B" w:rsidP="007F7440">
            <w:pPr>
              <w:spacing w:before="60" w:after="60"/>
              <w:rPr>
                <w:bCs/>
                <w:color w:val="595959"/>
              </w:rPr>
            </w:pPr>
            <w:r w:rsidRPr="00444A5A">
              <w:rPr>
                <w:bCs/>
                <w:color w:val="595959"/>
              </w:rPr>
              <w:t>The issuer for fully insured plans usually prepares the SBC. If the issuer prepares the SBC, an employ</w:t>
            </w:r>
            <w:r w:rsidRPr="00444A5A">
              <w:rPr>
                <w:bCs/>
                <w:color w:val="595959"/>
              </w:rPr>
              <w:t>er is not also required to prepare an SBC for the health plan, although the employer may need to distribute the SBC prepared by the issuer.</w:t>
            </w:r>
          </w:p>
        </w:tc>
      </w:tr>
      <w:tr w:rsidR="00960533" w14:paraId="64B4406D" w14:textId="77777777" w:rsidTr="00F474DA">
        <w:trPr>
          <w:trHeight w:val="548"/>
          <w:jc w:val="center"/>
        </w:trPr>
        <w:tc>
          <w:tcPr>
            <w:tcW w:w="1732" w:type="dxa"/>
            <w:vMerge/>
            <w:shd w:val="clear" w:color="auto" w:fill="EDEDED" w:themeFill="accent3" w:themeFillTint="33"/>
          </w:tcPr>
          <w:p w14:paraId="4E417381"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3FF8F16F" w14:textId="77777777" w:rsidR="007F7440" w:rsidRPr="00311E37" w:rsidRDefault="007F7440" w:rsidP="007F7440">
            <w:pPr>
              <w:spacing w:before="60" w:after="60"/>
              <w:rPr>
                <w:bCs/>
                <w:color w:val="595959"/>
              </w:rPr>
            </w:pPr>
          </w:p>
        </w:tc>
        <w:tc>
          <w:tcPr>
            <w:tcW w:w="2835" w:type="dxa"/>
            <w:shd w:val="clear" w:color="auto" w:fill="EDEDED" w:themeFill="accent3" w:themeFillTint="33"/>
          </w:tcPr>
          <w:p w14:paraId="4C52F36F" w14:textId="77777777" w:rsidR="007F7440" w:rsidRPr="00311E37" w:rsidRDefault="004C2F9B" w:rsidP="007F7440">
            <w:pPr>
              <w:spacing w:before="60" w:after="60"/>
              <w:rPr>
                <w:color w:val="595959"/>
              </w:rPr>
            </w:pPr>
            <w:r w:rsidRPr="007F7440">
              <w:rPr>
                <w:b/>
                <w:color w:val="5083C9"/>
              </w:rPr>
              <w:t xml:space="preserve">60-day </w:t>
            </w:r>
            <w:r w:rsidR="00BF11FD" w:rsidRPr="007F7440">
              <w:rPr>
                <w:b/>
                <w:color w:val="5083C9"/>
              </w:rPr>
              <w:t>advance notice of plan change</w:t>
            </w:r>
            <w:r w:rsidRPr="007F7440">
              <w:rPr>
                <w:b/>
                <w:color w:val="5083C9"/>
              </w:rPr>
              <w:t>s</w:t>
            </w:r>
            <w:r w:rsidRPr="00311E37">
              <w:rPr>
                <w:b/>
                <w:color w:val="595959"/>
              </w:rPr>
              <w:t>—</w:t>
            </w:r>
            <w:r w:rsidRPr="00311E37">
              <w:rPr>
                <w:color w:val="595959"/>
              </w:rPr>
              <w:t xml:space="preserve">Plans and issuers must provide at least 60 days’ advance notice of mid-year material modifications in plan terms or coverage that would affect the content of the SBC and are not reflected in the most recent SBC. </w:t>
            </w:r>
          </w:p>
        </w:tc>
        <w:tc>
          <w:tcPr>
            <w:tcW w:w="4455" w:type="dxa"/>
            <w:shd w:val="clear" w:color="auto" w:fill="EDEDED" w:themeFill="accent3" w:themeFillTint="33"/>
          </w:tcPr>
          <w:p w14:paraId="2551C770" w14:textId="77777777" w:rsidR="007F7440" w:rsidRPr="00311E37" w:rsidRDefault="004C2F9B" w:rsidP="007F7440">
            <w:pPr>
              <w:spacing w:before="60" w:after="60"/>
              <w:rPr>
                <w:bCs/>
                <w:color w:val="595959"/>
              </w:rPr>
            </w:pPr>
            <w:r w:rsidRPr="00311E37">
              <w:rPr>
                <w:bCs/>
                <w:color w:val="595959"/>
              </w:rPr>
              <w:t>A health plan or issuer must provide 60 day</w:t>
            </w:r>
            <w:r w:rsidRPr="00311E37">
              <w:rPr>
                <w:bCs/>
                <w:color w:val="595959"/>
              </w:rPr>
              <w:t xml:space="preserve">s’ advance notice of any material modifications to the plan that are not reflected in the most recent SBC. This notice requirement is limited to material modifications that do not occur in connection with a renewal or reissuance of coverage. </w:t>
            </w:r>
          </w:p>
          <w:p w14:paraId="4D5CCC8F" w14:textId="77777777" w:rsidR="007F7440" w:rsidRPr="00311E37" w:rsidRDefault="004C2F9B" w:rsidP="007F7440">
            <w:pPr>
              <w:spacing w:before="60" w:after="60"/>
              <w:rPr>
                <w:bCs/>
                <w:color w:val="595959"/>
              </w:rPr>
            </w:pPr>
            <w:r w:rsidRPr="00311E37">
              <w:rPr>
                <w:bCs/>
                <w:color w:val="595959"/>
              </w:rPr>
              <w:t>A “material m</w:t>
            </w:r>
            <w:r w:rsidRPr="00311E37">
              <w:rPr>
                <w:bCs/>
                <w:color w:val="595959"/>
              </w:rPr>
              <w:t xml:space="preserve">odification” is any change to a plan’s coverage that independently, or in connection with other changes taking place at the same time, would be considered by the average plan participant to be an important </w:t>
            </w:r>
            <w:r w:rsidRPr="00311E37">
              <w:rPr>
                <w:bCs/>
                <w:color w:val="595959"/>
              </w:rPr>
              <w:lastRenderedPageBreak/>
              <w:t>change in covered benefits or other terms of cover</w:t>
            </w:r>
            <w:r w:rsidRPr="00311E37">
              <w:rPr>
                <w:bCs/>
                <w:color w:val="595959"/>
              </w:rPr>
              <w:t xml:space="preserve">age. </w:t>
            </w:r>
          </w:p>
          <w:p w14:paraId="7C205E9D" w14:textId="77777777" w:rsidR="007F7440" w:rsidRPr="00311E37" w:rsidRDefault="004C2F9B" w:rsidP="007F7440">
            <w:pPr>
              <w:spacing w:before="60" w:after="60"/>
              <w:rPr>
                <w:bCs/>
                <w:color w:val="595959"/>
              </w:rPr>
            </w:pPr>
            <w:r w:rsidRPr="00311E37">
              <w:rPr>
                <w:bCs/>
                <w:color w:val="595959"/>
              </w:rPr>
              <w:t>A material modification may include:</w:t>
            </w:r>
          </w:p>
          <w:p w14:paraId="00DAB6FB" w14:textId="77777777" w:rsidR="007F7440" w:rsidRPr="00311E37" w:rsidRDefault="004C2F9B" w:rsidP="007F7440">
            <w:pPr>
              <w:numPr>
                <w:ilvl w:val="0"/>
                <w:numId w:val="13"/>
              </w:numPr>
              <w:spacing w:before="60" w:after="60"/>
              <w:ind w:left="230" w:hanging="180"/>
              <w:rPr>
                <w:bCs/>
                <w:color w:val="595959"/>
              </w:rPr>
            </w:pPr>
            <w:r w:rsidRPr="00311E37">
              <w:rPr>
                <w:bCs/>
                <w:color w:val="595959"/>
              </w:rPr>
              <w:t>An enhancement in covered benefits or services or other more generous plan or policy terms (for example, reduced cost-sharing or coverage of previously excluded benefits); or</w:t>
            </w:r>
          </w:p>
          <w:p w14:paraId="61AA7E18" w14:textId="77777777" w:rsidR="007F7440" w:rsidRPr="00311E37" w:rsidRDefault="004C2F9B" w:rsidP="007F7440">
            <w:pPr>
              <w:numPr>
                <w:ilvl w:val="0"/>
                <w:numId w:val="13"/>
              </w:numPr>
              <w:spacing w:before="60" w:after="60"/>
              <w:ind w:left="230" w:hanging="180"/>
              <w:rPr>
                <w:bCs/>
                <w:color w:val="595959"/>
              </w:rPr>
            </w:pPr>
            <w:r w:rsidRPr="00311E37">
              <w:rPr>
                <w:bCs/>
                <w:color w:val="595959"/>
              </w:rPr>
              <w:t>A material reduction in covered servic</w:t>
            </w:r>
            <w:r w:rsidRPr="00311E37">
              <w:rPr>
                <w:bCs/>
                <w:color w:val="595959"/>
              </w:rPr>
              <w:t>es or benefits or more strict requirements for receiving benefits (for example, a new referral requirement or increased premiums or cost-sharing).</w:t>
            </w:r>
          </w:p>
        </w:tc>
      </w:tr>
      <w:tr w:rsidR="00960533" w14:paraId="48228E10" w14:textId="77777777" w:rsidTr="00F474DA">
        <w:trPr>
          <w:jc w:val="center"/>
        </w:trPr>
        <w:tc>
          <w:tcPr>
            <w:tcW w:w="1732" w:type="dxa"/>
            <w:shd w:val="clear" w:color="auto" w:fill="EDEDED" w:themeFill="accent3" w:themeFillTint="33"/>
            <w:vAlign w:val="center"/>
          </w:tcPr>
          <w:p w14:paraId="72187581" w14:textId="77777777" w:rsidR="007F7440" w:rsidRPr="00311E37" w:rsidRDefault="004C2F9B" w:rsidP="007F7440">
            <w:pPr>
              <w:spacing w:before="60" w:after="60"/>
              <w:jc w:val="center"/>
              <w:rPr>
                <w:b/>
                <w:color w:val="32607A"/>
              </w:rPr>
            </w:pPr>
            <w:r w:rsidRPr="007F7440">
              <w:rPr>
                <w:b/>
                <w:color w:val="5083C9"/>
              </w:rPr>
              <w:lastRenderedPageBreak/>
              <w:t>Affordable Care Act</w:t>
            </w:r>
          </w:p>
        </w:tc>
        <w:tc>
          <w:tcPr>
            <w:tcW w:w="1688" w:type="dxa"/>
            <w:shd w:val="clear" w:color="auto" w:fill="EDEDED" w:themeFill="accent3" w:themeFillTint="33"/>
            <w:vAlign w:val="center"/>
          </w:tcPr>
          <w:p w14:paraId="2F60C2E3" w14:textId="77777777" w:rsidR="007F7440" w:rsidRPr="00311E37" w:rsidRDefault="004C2F9B" w:rsidP="007F7440">
            <w:pPr>
              <w:spacing w:before="60" w:after="60"/>
              <w:jc w:val="center"/>
              <w:rPr>
                <w:bCs/>
                <w:color w:val="595959"/>
              </w:rPr>
            </w:pPr>
            <w:r w:rsidRPr="00311E37">
              <w:rPr>
                <w:bCs/>
                <w:color w:val="595959"/>
              </w:rPr>
              <w:t>Employers sponsoring group health plans</w:t>
            </w:r>
          </w:p>
        </w:tc>
        <w:tc>
          <w:tcPr>
            <w:tcW w:w="2835" w:type="dxa"/>
            <w:shd w:val="clear" w:color="auto" w:fill="EDEDED" w:themeFill="accent3" w:themeFillTint="33"/>
          </w:tcPr>
          <w:p w14:paraId="2E213D08" w14:textId="77777777" w:rsidR="007F7440" w:rsidRPr="00311E37" w:rsidRDefault="004C2F9B" w:rsidP="007F7440">
            <w:pPr>
              <w:spacing w:before="60" w:after="60"/>
              <w:rPr>
                <w:color w:val="595959"/>
              </w:rPr>
            </w:pPr>
            <w:r w:rsidRPr="007F7440">
              <w:rPr>
                <w:b/>
                <w:color w:val="5083C9"/>
              </w:rPr>
              <w:t>IRS Form W-2</w:t>
            </w:r>
            <w:r w:rsidRPr="00311E37">
              <w:rPr>
                <w:color w:val="595959"/>
              </w:rPr>
              <w:t xml:space="preserve">—Aggregate cost of applicable employer-sponsored coverage must be included on employees’ Forms W-2. </w:t>
            </w:r>
          </w:p>
          <w:p w14:paraId="4C2F2915" w14:textId="77777777" w:rsidR="007F7440" w:rsidRPr="00311E37" w:rsidRDefault="004C2F9B" w:rsidP="007F7440">
            <w:pPr>
              <w:spacing w:before="60" w:after="60"/>
              <w:rPr>
                <w:color w:val="595959"/>
              </w:rPr>
            </w:pPr>
            <w:r w:rsidRPr="00311E37">
              <w:rPr>
                <w:color w:val="595959"/>
              </w:rPr>
              <w:t xml:space="preserve">Small employers (those filing </w:t>
            </w:r>
            <w:r w:rsidRPr="000C09F2">
              <w:rPr>
                <w:b/>
                <w:color w:val="595959"/>
              </w:rPr>
              <w:t>fewer than 250 W-2-Forms</w:t>
            </w:r>
            <w:r w:rsidRPr="00311E37">
              <w:rPr>
                <w:color w:val="595959"/>
              </w:rPr>
              <w:t>) and employers contributing only to certain plans, such as multiemployer plans or HSAs, are exempt a</w:t>
            </w:r>
            <w:r w:rsidRPr="00311E37">
              <w:rPr>
                <w:color w:val="595959"/>
              </w:rPr>
              <w:t>t least until further guidance is issued.</w:t>
            </w:r>
          </w:p>
        </w:tc>
        <w:tc>
          <w:tcPr>
            <w:tcW w:w="4455" w:type="dxa"/>
            <w:shd w:val="clear" w:color="auto" w:fill="EDEDED" w:themeFill="accent3" w:themeFillTint="33"/>
          </w:tcPr>
          <w:p w14:paraId="4847E7EA" w14:textId="77777777" w:rsidR="007F7440" w:rsidRPr="00311E37" w:rsidRDefault="004C2F9B" w:rsidP="007F7440">
            <w:pPr>
              <w:spacing w:before="60" w:after="60"/>
              <w:rPr>
                <w:bCs/>
                <w:color w:val="595959"/>
              </w:rPr>
            </w:pPr>
            <w:r w:rsidRPr="00311E37">
              <w:rPr>
                <w:color w:val="595959"/>
              </w:rPr>
              <w:t xml:space="preserve">Employers must disclose the aggregate cost of applicable employer-sponsored coverage provided to employees on the employees’ W-2 forms. </w:t>
            </w:r>
            <w:r w:rsidRPr="00311E37">
              <w:rPr>
                <w:bCs/>
                <w:color w:val="595959"/>
              </w:rPr>
              <w:t xml:space="preserve">The Form W-2 and Instructions, including a category for reporting the cost of </w:t>
            </w:r>
            <w:r w:rsidRPr="00311E37">
              <w:rPr>
                <w:bCs/>
                <w:color w:val="595959"/>
              </w:rPr>
              <w:t xml:space="preserve">employer-sponsored coverage, are available on the IRS’ </w:t>
            </w:r>
            <w:hyperlink r:id="rId21" w:history="1">
              <w:r w:rsidRPr="00311E37">
                <w:rPr>
                  <w:rStyle w:val="Hyperlink"/>
                  <w:bCs/>
                </w:rPr>
                <w:t>website</w:t>
              </w:r>
            </w:hyperlink>
            <w:r w:rsidRPr="00311E37">
              <w:rPr>
                <w:bCs/>
                <w:color w:val="595959"/>
              </w:rPr>
              <w:t xml:space="preserve">. </w:t>
            </w:r>
          </w:p>
          <w:p w14:paraId="0998DB52" w14:textId="77777777" w:rsidR="007F7440" w:rsidRPr="00311E37" w:rsidRDefault="004C2F9B" w:rsidP="007F7440">
            <w:pPr>
              <w:spacing w:before="60" w:after="60"/>
              <w:rPr>
                <w:bCs/>
                <w:color w:val="595959"/>
              </w:rPr>
            </w:pPr>
            <w:r w:rsidRPr="005B447C">
              <w:rPr>
                <w:bCs/>
                <w:color w:val="595959"/>
              </w:rPr>
              <w:t>Employers must file Forms W-2 with the Social Security Administration and furnish Forms W-2 to employees by Jan. 31 of each year, unless an ex</w:t>
            </w:r>
            <w:r w:rsidRPr="005B447C">
              <w:rPr>
                <w:bCs/>
                <w:color w:val="595959"/>
              </w:rPr>
              <w:t>tension applies.</w:t>
            </w:r>
          </w:p>
        </w:tc>
      </w:tr>
      <w:tr w:rsidR="00960533" w14:paraId="1A3363CD" w14:textId="77777777" w:rsidTr="00F474DA">
        <w:trPr>
          <w:jc w:val="center"/>
        </w:trPr>
        <w:tc>
          <w:tcPr>
            <w:tcW w:w="1732" w:type="dxa"/>
            <w:shd w:val="clear" w:color="auto" w:fill="EDEDED" w:themeFill="accent3" w:themeFillTint="33"/>
            <w:vAlign w:val="center"/>
          </w:tcPr>
          <w:p w14:paraId="70B0DB45" w14:textId="77777777" w:rsidR="007F7440" w:rsidRPr="00311E37" w:rsidRDefault="004C2F9B" w:rsidP="007F7440">
            <w:pPr>
              <w:spacing w:before="60" w:after="60"/>
              <w:jc w:val="center"/>
              <w:rPr>
                <w:b/>
                <w:color w:val="32607A"/>
              </w:rPr>
            </w:pPr>
            <w:r w:rsidRPr="000C09F2">
              <w:rPr>
                <w:b/>
                <w:color w:val="5083C9"/>
              </w:rPr>
              <w:t>Affordable Care Act</w:t>
            </w:r>
          </w:p>
        </w:tc>
        <w:tc>
          <w:tcPr>
            <w:tcW w:w="1688" w:type="dxa"/>
            <w:shd w:val="clear" w:color="auto" w:fill="EDEDED" w:themeFill="accent3" w:themeFillTint="33"/>
            <w:vAlign w:val="center"/>
          </w:tcPr>
          <w:p w14:paraId="4BD8CFA4" w14:textId="77777777" w:rsidR="007F7440" w:rsidRPr="00311E37" w:rsidRDefault="004C2F9B" w:rsidP="007F7440">
            <w:pPr>
              <w:spacing w:before="60" w:after="60"/>
              <w:jc w:val="center"/>
              <w:rPr>
                <w:bCs/>
                <w:color w:val="595959"/>
              </w:rPr>
            </w:pPr>
            <w:r w:rsidRPr="00311E37">
              <w:rPr>
                <w:bCs/>
                <w:color w:val="595959"/>
              </w:rPr>
              <w:t>All employers subject to the FLSA</w:t>
            </w:r>
          </w:p>
        </w:tc>
        <w:tc>
          <w:tcPr>
            <w:tcW w:w="2835" w:type="dxa"/>
            <w:shd w:val="clear" w:color="auto" w:fill="EDEDED" w:themeFill="accent3" w:themeFillTint="33"/>
          </w:tcPr>
          <w:p w14:paraId="57A29DDE" w14:textId="77777777" w:rsidR="007F7440" w:rsidRPr="00311E37" w:rsidRDefault="004C2F9B" w:rsidP="007F7440">
            <w:pPr>
              <w:spacing w:before="60" w:after="60"/>
              <w:rPr>
                <w:b/>
                <w:i/>
                <w:color w:val="595959"/>
              </w:rPr>
            </w:pPr>
            <w:r w:rsidRPr="000C09F2">
              <w:rPr>
                <w:b/>
                <w:color w:val="5083C9"/>
              </w:rPr>
              <w:t xml:space="preserve">Exchange </w:t>
            </w:r>
            <w:r w:rsidR="00BF11FD">
              <w:rPr>
                <w:b/>
                <w:color w:val="5083C9"/>
              </w:rPr>
              <w:t>n</w:t>
            </w:r>
            <w:r w:rsidRPr="000C09F2">
              <w:rPr>
                <w:b/>
                <w:color w:val="5083C9"/>
              </w:rPr>
              <w:t>otice</w:t>
            </w:r>
            <w:r w:rsidRPr="00311E37">
              <w:rPr>
                <w:b/>
                <w:color w:val="595959"/>
              </w:rPr>
              <w:t>—</w:t>
            </w:r>
            <w:r w:rsidRPr="00311E37">
              <w:rPr>
                <w:color w:val="595959"/>
              </w:rPr>
              <w:t xml:space="preserve">The ACA requires employers to provide all new hires with a written notice about the health insurance Exchanges. </w:t>
            </w:r>
          </w:p>
          <w:p w14:paraId="148F3EF1" w14:textId="77777777" w:rsidR="007F7440" w:rsidRPr="00311E37" w:rsidRDefault="007F7440" w:rsidP="007F7440">
            <w:pPr>
              <w:spacing w:before="60" w:after="60"/>
              <w:rPr>
                <w:b/>
                <w:i/>
                <w:color w:val="595959"/>
              </w:rPr>
            </w:pPr>
          </w:p>
        </w:tc>
        <w:tc>
          <w:tcPr>
            <w:tcW w:w="4455" w:type="dxa"/>
            <w:shd w:val="clear" w:color="auto" w:fill="EDEDED" w:themeFill="accent3" w:themeFillTint="33"/>
          </w:tcPr>
          <w:p w14:paraId="566E6F9A" w14:textId="77777777" w:rsidR="007F7440" w:rsidRPr="00311E37" w:rsidRDefault="004C2F9B" w:rsidP="007F7440">
            <w:pPr>
              <w:spacing w:before="60" w:after="60"/>
              <w:rPr>
                <w:color w:val="595959"/>
              </w:rPr>
            </w:pPr>
            <w:r w:rsidRPr="00311E37">
              <w:rPr>
                <w:color w:val="595959"/>
              </w:rPr>
              <w:t>Employers must provide all new hires with an Exchange notice that:</w:t>
            </w:r>
          </w:p>
          <w:p w14:paraId="65BC4ECB" w14:textId="77777777" w:rsidR="007F7440" w:rsidRPr="00311E37" w:rsidRDefault="004C2F9B" w:rsidP="007F7440">
            <w:pPr>
              <w:numPr>
                <w:ilvl w:val="0"/>
                <w:numId w:val="14"/>
              </w:numPr>
              <w:spacing w:before="60" w:after="60"/>
              <w:ind w:left="230" w:hanging="180"/>
              <w:rPr>
                <w:color w:val="595959"/>
              </w:rPr>
            </w:pPr>
            <w:r w:rsidRPr="00311E37">
              <w:rPr>
                <w:color w:val="595959"/>
              </w:rPr>
              <w:t>Includes information regarding the existence of the Exchange, as well as co</w:t>
            </w:r>
            <w:r w:rsidRPr="00311E37">
              <w:rPr>
                <w:color w:val="595959"/>
              </w:rPr>
              <w:t xml:space="preserve">ntact information and a description of the services provided by the Exchange; </w:t>
            </w:r>
          </w:p>
          <w:p w14:paraId="0427B883" w14:textId="77777777" w:rsidR="007F7440" w:rsidRPr="00311E37" w:rsidRDefault="004C2F9B" w:rsidP="007F7440">
            <w:pPr>
              <w:numPr>
                <w:ilvl w:val="0"/>
                <w:numId w:val="14"/>
              </w:numPr>
              <w:spacing w:before="60" w:after="60"/>
              <w:ind w:left="230" w:hanging="180"/>
              <w:rPr>
                <w:color w:val="595959"/>
              </w:rPr>
            </w:pPr>
            <w:r w:rsidRPr="00311E37">
              <w:rPr>
                <w:color w:val="595959"/>
              </w:rPr>
              <w:t xml:space="preserve">Explains how an employee may be eligible for a premium tax credit if the employee purchases a qualified health plan through the Exchange; and </w:t>
            </w:r>
          </w:p>
          <w:p w14:paraId="02DE2940" w14:textId="77777777" w:rsidR="007F7440" w:rsidRPr="00311E37" w:rsidRDefault="004C2F9B" w:rsidP="007F7440">
            <w:pPr>
              <w:numPr>
                <w:ilvl w:val="0"/>
                <w:numId w:val="14"/>
              </w:numPr>
              <w:spacing w:before="60" w:after="60"/>
              <w:ind w:left="230" w:hanging="180"/>
              <w:rPr>
                <w:color w:val="595959"/>
              </w:rPr>
            </w:pPr>
            <w:r w:rsidRPr="00311E37">
              <w:rPr>
                <w:color w:val="595959"/>
              </w:rPr>
              <w:t>Contains a statement informing the</w:t>
            </w:r>
            <w:r w:rsidRPr="00311E37">
              <w:rPr>
                <w:color w:val="595959"/>
              </w:rPr>
              <w:t xml:space="preserve"> employee that, if the employee purchases a </w:t>
            </w:r>
            <w:r w:rsidRPr="00311E37">
              <w:rPr>
                <w:color w:val="595959"/>
              </w:rPr>
              <w:lastRenderedPageBreak/>
              <w:t xml:space="preserve">qualified health plan through an Exchange, the employee may lose the employer contribution (if any) to any health benefits plan offered by the employer and that all or a portion of this employer contribution may </w:t>
            </w:r>
            <w:r w:rsidRPr="00311E37">
              <w:rPr>
                <w:color w:val="595959"/>
              </w:rPr>
              <w:t>be excludable for federal income tax purposes.</w:t>
            </w:r>
          </w:p>
          <w:p w14:paraId="1FE11D72" w14:textId="77777777" w:rsidR="007F7440" w:rsidRPr="00311E37" w:rsidRDefault="004C2F9B" w:rsidP="007F7440">
            <w:pPr>
              <w:spacing w:before="60" w:after="60"/>
              <w:rPr>
                <w:color w:val="595959"/>
              </w:rPr>
            </w:pPr>
            <w:r w:rsidRPr="00311E37">
              <w:rPr>
                <w:color w:val="595959"/>
              </w:rPr>
              <w:t xml:space="preserve">The DOL has </w:t>
            </w:r>
            <w:r w:rsidRPr="005B447C">
              <w:rPr>
                <w:color w:val="595959"/>
              </w:rPr>
              <w:t xml:space="preserve">provided </w:t>
            </w:r>
            <w:hyperlink r:id="rId22" w:history="1">
              <w:r w:rsidRPr="000C09F2">
                <w:rPr>
                  <w:rStyle w:val="Hyperlink"/>
                </w:rPr>
                <w:t>model Exchange notices</w:t>
              </w:r>
            </w:hyperlink>
            <w:r w:rsidRPr="00311E37">
              <w:rPr>
                <w:color w:val="595959"/>
              </w:rPr>
              <w:t xml:space="preserve"> for employers to use, which will require some customization. </w:t>
            </w:r>
          </w:p>
        </w:tc>
      </w:tr>
      <w:tr w:rsidR="00960533" w14:paraId="4FB7DEAD" w14:textId="77777777" w:rsidTr="00F474DA">
        <w:trPr>
          <w:jc w:val="center"/>
        </w:trPr>
        <w:tc>
          <w:tcPr>
            <w:tcW w:w="1732" w:type="dxa"/>
            <w:shd w:val="clear" w:color="auto" w:fill="EDEDED" w:themeFill="accent3" w:themeFillTint="33"/>
            <w:vAlign w:val="center"/>
          </w:tcPr>
          <w:p w14:paraId="40888198" w14:textId="77777777" w:rsidR="007F7440" w:rsidRPr="00311E37" w:rsidRDefault="004C2F9B" w:rsidP="007F7440">
            <w:pPr>
              <w:spacing w:before="60" w:after="60"/>
              <w:jc w:val="center"/>
              <w:rPr>
                <w:b/>
                <w:color w:val="32607A"/>
              </w:rPr>
            </w:pPr>
            <w:r w:rsidRPr="000C09F2">
              <w:rPr>
                <w:b/>
                <w:color w:val="5083C9"/>
              </w:rPr>
              <w:lastRenderedPageBreak/>
              <w:t>Affordable Care Act</w:t>
            </w:r>
          </w:p>
        </w:tc>
        <w:tc>
          <w:tcPr>
            <w:tcW w:w="1688" w:type="dxa"/>
            <w:shd w:val="clear" w:color="auto" w:fill="EDEDED" w:themeFill="accent3" w:themeFillTint="33"/>
            <w:vAlign w:val="center"/>
          </w:tcPr>
          <w:p w14:paraId="4FE0810E" w14:textId="77777777" w:rsidR="007F7440" w:rsidRPr="00311E37" w:rsidRDefault="004C2F9B" w:rsidP="007F7440">
            <w:pPr>
              <w:spacing w:before="60" w:after="60"/>
              <w:jc w:val="center"/>
              <w:rPr>
                <w:bCs/>
                <w:color w:val="595959"/>
              </w:rPr>
            </w:pPr>
            <w:r w:rsidRPr="00311E37">
              <w:rPr>
                <w:bCs/>
                <w:color w:val="595959"/>
              </w:rPr>
              <w:t>App</w:t>
            </w:r>
            <w:r w:rsidRPr="00311E37">
              <w:rPr>
                <w:bCs/>
                <w:color w:val="595959"/>
              </w:rPr>
              <w:t xml:space="preserve">licable large employers </w:t>
            </w:r>
            <w:r>
              <w:rPr>
                <w:bCs/>
                <w:color w:val="595959"/>
              </w:rPr>
              <w:t>(ALEs)</w:t>
            </w:r>
          </w:p>
        </w:tc>
        <w:tc>
          <w:tcPr>
            <w:tcW w:w="2835" w:type="dxa"/>
            <w:shd w:val="clear" w:color="auto" w:fill="EDEDED" w:themeFill="accent3" w:themeFillTint="33"/>
          </w:tcPr>
          <w:p w14:paraId="72C3D1F2" w14:textId="77777777" w:rsidR="007F7440" w:rsidRPr="00311E37" w:rsidRDefault="004C2F9B" w:rsidP="007F7440">
            <w:pPr>
              <w:spacing w:before="60" w:after="60"/>
              <w:rPr>
                <w:color w:val="595959"/>
              </w:rPr>
            </w:pPr>
            <w:r w:rsidRPr="000C09F2">
              <w:rPr>
                <w:b/>
                <w:color w:val="5083C9"/>
              </w:rPr>
              <w:t xml:space="preserve">Code §6056 </w:t>
            </w:r>
            <w:r w:rsidR="00BF11FD">
              <w:rPr>
                <w:b/>
                <w:color w:val="5083C9"/>
              </w:rPr>
              <w:t>r</w:t>
            </w:r>
            <w:r w:rsidRPr="000C09F2">
              <w:rPr>
                <w:b/>
                <w:color w:val="5083C9"/>
              </w:rPr>
              <w:t>eporting</w:t>
            </w:r>
            <w:r w:rsidRPr="00311E37">
              <w:rPr>
                <w:b/>
                <w:color w:val="595959"/>
              </w:rPr>
              <w:t>—</w:t>
            </w:r>
            <w:r>
              <w:rPr>
                <w:color w:val="595959"/>
              </w:rPr>
              <w:t>ALEs (employers</w:t>
            </w:r>
            <w:r w:rsidRPr="00311E37">
              <w:rPr>
                <w:color w:val="595959"/>
              </w:rPr>
              <w:t xml:space="preserve"> with at least 50 full-time employees, including full-time equivalents) must file an annual return with the IRS regarding the health coverage, if any, provided to full-time employees. These</w:t>
            </w:r>
            <w:r w:rsidRPr="00311E37">
              <w:rPr>
                <w:color w:val="595959"/>
              </w:rPr>
              <w:t xml:space="preserve"> employers must also provide a relate</w:t>
            </w:r>
            <w:r>
              <w:rPr>
                <w:color w:val="595959"/>
              </w:rPr>
              <w:t xml:space="preserve">d annual statement to </w:t>
            </w:r>
            <w:r w:rsidRPr="00311E37">
              <w:rPr>
                <w:color w:val="595959"/>
              </w:rPr>
              <w:t xml:space="preserve">employees. </w:t>
            </w:r>
          </w:p>
          <w:p w14:paraId="5D5A2547" w14:textId="77777777" w:rsidR="007F7440" w:rsidRPr="00311E37" w:rsidRDefault="004C2F9B" w:rsidP="007F7440">
            <w:pPr>
              <w:spacing w:before="60" w:after="60"/>
              <w:rPr>
                <w:color w:val="595959"/>
              </w:rPr>
            </w:pPr>
            <w:r w:rsidRPr="00311E37">
              <w:rPr>
                <w:color w:val="595959"/>
              </w:rPr>
              <w:t>The deadlines for these returns and employee statements are as follows:</w:t>
            </w:r>
          </w:p>
          <w:p w14:paraId="6654F214" w14:textId="77777777" w:rsidR="007F7440" w:rsidRPr="00311E37" w:rsidRDefault="004C2F9B" w:rsidP="007F7440">
            <w:pPr>
              <w:numPr>
                <w:ilvl w:val="0"/>
                <w:numId w:val="20"/>
              </w:numPr>
              <w:spacing w:before="60" w:after="60"/>
              <w:ind w:left="211" w:hanging="180"/>
              <w:rPr>
                <w:color w:val="595959"/>
              </w:rPr>
            </w:pPr>
            <w:r w:rsidRPr="00311E37">
              <w:rPr>
                <w:color w:val="595959"/>
              </w:rPr>
              <w:t xml:space="preserve">Section 6056 returns </w:t>
            </w:r>
            <w:r>
              <w:rPr>
                <w:color w:val="595959"/>
              </w:rPr>
              <w:t>(</w:t>
            </w:r>
            <w:r w:rsidRPr="004D0349">
              <w:rPr>
                <w:color w:val="595959"/>
              </w:rPr>
              <w:t>IRS Forms 1094-C and 1095-C</w:t>
            </w:r>
            <w:r>
              <w:rPr>
                <w:color w:val="595959"/>
              </w:rPr>
              <w:t>)</w:t>
            </w:r>
            <w:r w:rsidRPr="004D0349">
              <w:rPr>
                <w:color w:val="595959"/>
              </w:rPr>
              <w:t xml:space="preserve"> </w:t>
            </w:r>
            <w:r w:rsidRPr="00311E37">
              <w:rPr>
                <w:color w:val="595959"/>
              </w:rPr>
              <w:t xml:space="preserve">must be filed with the IRS annually, no later than Feb. 28 (March 31, if filed electronically) of the year after the calendar year to which the return relates. </w:t>
            </w:r>
          </w:p>
          <w:p w14:paraId="63D7C893" w14:textId="77777777" w:rsidR="007F7440" w:rsidRPr="000F5552" w:rsidRDefault="004C2F9B" w:rsidP="007F7440">
            <w:pPr>
              <w:numPr>
                <w:ilvl w:val="0"/>
                <w:numId w:val="20"/>
              </w:numPr>
              <w:spacing w:before="60" w:after="60"/>
              <w:ind w:left="211" w:hanging="180"/>
              <w:rPr>
                <w:i/>
                <w:color w:val="595959"/>
              </w:rPr>
            </w:pPr>
            <w:r w:rsidRPr="00311E37">
              <w:rPr>
                <w:color w:val="595959"/>
              </w:rPr>
              <w:t xml:space="preserve">The employee statements </w:t>
            </w:r>
            <w:r>
              <w:rPr>
                <w:color w:val="595959"/>
              </w:rPr>
              <w:t>(</w:t>
            </w:r>
            <w:r w:rsidRPr="004D0349">
              <w:rPr>
                <w:color w:val="595959"/>
              </w:rPr>
              <w:t>IRS Form 1095-C</w:t>
            </w:r>
            <w:r>
              <w:rPr>
                <w:color w:val="595959"/>
              </w:rPr>
              <w:t>) must be provided</w:t>
            </w:r>
            <w:r w:rsidRPr="00311E37">
              <w:rPr>
                <w:color w:val="595959"/>
              </w:rPr>
              <w:t xml:space="preserve"> to full-time employees by Jan. 31 of</w:t>
            </w:r>
            <w:r w:rsidRPr="00311E37">
              <w:rPr>
                <w:color w:val="595959"/>
              </w:rPr>
              <w:t xml:space="preserve"> the next calendar year. Extensions may be </w:t>
            </w:r>
            <w:r w:rsidRPr="00311E37">
              <w:rPr>
                <w:color w:val="595959"/>
              </w:rPr>
              <w:lastRenderedPageBreak/>
              <w:t>available in certain circumstances.</w:t>
            </w:r>
            <w:r>
              <w:rPr>
                <w:color w:val="595959"/>
              </w:rPr>
              <w:t xml:space="preserve"> </w:t>
            </w:r>
            <w:r w:rsidRPr="000F5552">
              <w:rPr>
                <w:i/>
                <w:color w:val="595959"/>
              </w:rPr>
              <w:t xml:space="preserve">The IRS </w:t>
            </w:r>
            <w:r>
              <w:rPr>
                <w:i/>
                <w:color w:val="595959"/>
              </w:rPr>
              <w:t>extended the deadline for furnishing the 201</w:t>
            </w:r>
            <w:r w:rsidR="000C09F2">
              <w:rPr>
                <w:i/>
                <w:color w:val="595959"/>
              </w:rPr>
              <w:t>9</w:t>
            </w:r>
            <w:r w:rsidRPr="000F5552">
              <w:rPr>
                <w:i/>
                <w:color w:val="595959"/>
              </w:rPr>
              <w:t xml:space="preserve"> employee st</w:t>
            </w:r>
            <w:r>
              <w:rPr>
                <w:i/>
                <w:color w:val="595959"/>
              </w:rPr>
              <w:t>atements, from Jan. 31, 20</w:t>
            </w:r>
            <w:r w:rsidR="000C09F2">
              <w:rPr>
                <w:i/>
                <w:color w:val="595959"/>
              </w:rPr>
              <w:t>20</w:t>
            </w:r>
            <w:r>
              <w:rPr>
                <w:i/>
                <w:color w:val="595959"/>
              </w:rPr>
              <w:t xml:space="preserve">, to March </w:t>
            </w:r>
            <w:r w:rsidR="000C09F2">
              <w:rPr>
                <w:i/>
                <w:color w:val="595959"/>
              </w:rPr>
              <w:t>2</w:t>
            </w:r>
            <w:r>
              <w:rPr>
                <w:i/>
                <w:color w:val="595959"/>
              </w:rPr>
              <w:t>, 20</w:t>
            </w:r>
            <w:r w:rsidR="000C09F2">
              <w:rPr>
                <w:i/>
                <w:color w:val="595959"/>
              </w:rPr>
              <w:t>20</w:t>
            </w:r>
            <w:r w:rsidRPr="000F5552">
              <w:rPr>
                <w:i/>
                <w:color w:val="595959"/>
              </w:rPr>
              <w:t xml:space="preserve">.   </w:t>
            </w:r>
          </w:p>
        </w:tc>
        <w:tc>
          <w:tcPr>
            <w:tcW w:w="4455" w:type="dxa"/>
            <w:shd w:val="clear" w:color="auto" w:fill="EDEDED" w:themeFill="accent3" w:themeFillTint="33"/>
          </w:tcPr>
          <w:p w14:paraId="68368B0A" w14:textId="77777777" w:rsidR="007F7440" w:rsidRDefault="004C2F9B" w:rsidP="007F7440">
            <w:pPr>
              <w:spacing w:before="60" w:after="60"/>
              <w:rPr>
                <w:color w:val="595959"/>
              </w:rPr>
            </w:pPr>
            <w:r w:rsidRPr="00311E37">
              <w:rPr>
                <w:color w:val="595959"/>
              </w:rPr>
              <w:lastRenderedPageBreak/>
              <w:t>Code section 6056 requires ALEs to report to the IRS informat</w:t>
            </w:r>
            <w:r w:rsidRPr="00311E37">
              <w:rPr>
                <w:color w:val="595959"/>
              </w:rPr>
              <w:t xml:space="preserve">ion about the health care coverage, if any, they offered to full-time employees. Section 6056 also requires those employers to furnish related statements to employees. </w:t>
            </w:r>
          </w:p>
          <w:p w14:paraId="0F80DE18" w14:textId="77777777" w:rsidR="007F7440" w:rsidRPr="00311E37" w:rsidRDefault="004C2F9B" w:rsidP="007F7440">
            <w:pPr>
              <w:spacing w:before="60" w:after="60"/>
              <w:rPr>
                <w:color w:val="595959"/>
              </w:rPr>
            </w:pPr>
            <w:r w:rsidRPr="00311E37">
              <w:rPr>
                <w:color w:val="595959"/>
              </w:rPr>
              <w:t xml:space="preserve">According to the IRS, this information reporting is necessary in order to </w:t>
            </w:r>
            <w:r w:rsidRPr="00311E37">
              <w:rPr>
                <w:color w:val="595959"/>
              </w:rPr>
              <w:t>administer the employer shared responsibility “pay or play” rules. The return will give the IRS information about the employer’s compliance with the pay or play rules. These rules impose penalties on ALEs that do not offer required coverage to full-time em</w:t>
            </w:r>
            <w:r w:rsidRPr="00311E37">
              <w:rPr>
                <w:color w:val="595959"/>
              </w:rPr>
              <w:t>ployees and dependents.</w:t>
            </w:r>
          </w:p>
          <w:p w14:paraId="5DD501EE" w14:textId="77777777" w:rsidR="007F7440" w:rsidRPr="00311E37" w:rsidRDefault="004C2F9B" w:rsidP="007F7440">
            <w:pPr>
              <w:spacing w:before="60" w:after="60"/>
              <w:rPr>
                <w:color w:val="595959"/>
              </w:rPr>
            </w:pPr>
            <w:r w:rsidRPr="00311E37">
              <w:rPr>
                <w:color w:val="595959"/>
              </w:rPr>
              <w:t>The employee statements provide information to employees about coverage that was provided in the prior year. The information will be used to determine whether employees can claim a premium tax credit on their tax returns for coverag</w:t>
            </w:r>
            <w:r w:rsidRPr="00311E37">
              <w:rPr>
                <w:color w:val="595959"/>
              </w:rPr>
              <w:t>e purchased through an Exchange.</w:t>
            </w:r>
          </w:p>
        </w:tc>
      </w:tr>
      <w:tr w:rsidR="00960533" w14:paraId="037CA981" w14:textId="77777777" w:rsidTr="00F474DA">
        <w:trPr>
          <w:jc w:val="center"/>
        </w:trPr>
        <w:tc>
          <w:tcPr>
            <w:tcW w:w="1732" w:type="dxa"/>
            <w:shd w:val="clear" w:color="auto" w:fill="EDEDED" w:themeFill="accent3" w:themeFillTint="33"/>
            <w:vAlign w:val="center"/>
          </w:tcPr>
          <w:p w14:paraId="5BE67D2B" w14:textId="77777777" w:rsidR="007F7440" w:rsidRPr="00311E37" w:rsidRDefault="004C2F9B" w:rsidP="007F7440">
            <w:pPr>
              <w:spacing w:before="60" w:after="60"/>
              <w:jc w:val="center"/>
              <w:rPr>
                <w:b/>
                <w:color w:val="32607A"/>
              </w:rPr>
            </w:pPr>
            <w:r w:rsidRPr="008F26CB">
              <w:rPr>
                <w:b/>
                <w:color w:val="5083C9"/>
              </w:rPr>
              <w:t>Affordable Care Act</w:t>
            </w:r>
          </w:p>
        </w:tc>
        <w:tc>
          <w:tcPr>
            <w:tcW w:w="1688" w:type="dxa"/>
            <w:shd w:val="clear" w:color="auto" w:fill="EDEDED" w:themeFill="accent3" w:themeFillTint="33"/>
            <w:vAlign w:val="center"/>
          </w:tcPr>
          <w:p w14:paraId="345CD129" w14:textId="77777777" w:rsidR="007F7440" w:rsidRPr="00311E37" w:rsidRDefault="004C2F9B" w:rsidP="007F7440">
            <w:pPr>
              <w:spacing w:before="60" w:after="60"/>
              <w:jc w:val="center"/>
              <w:rPr>
                <w:bCs/>
                <w:color w:val="595959"/>
              </w:rPr>
            </w:pPr>
            <w:r>
              <w:rPr>
                <w:bCs/>
                <w:color w:val="595959"/>
              </w:rPr>
              <w:t xml:space="preserve">Non-ALEs </w:t>
            </w:r>
            <w:r w:rsidRPr="00311E37">
              <w:rPr>
                <w:bCs/>
                <w:color w:val="595959"/>
              </w:rPr>
              <w:t xml:space="preserve">with self-insured health plans </w:t>
            </w:r>
          </w:p>
        </w:tc>
        <w:tc>
          <w:tcPr>
            <w:tcW w:w="2835" w:type="dxa"/>
            <w:shd w:val="clear" w:color="auto" w:fill="EDEDED" w:themeFill="accent3" w:themeFillTint="33"/>
          </w:tcPr>
          <w:p w14:paraId="67D0D301" w14:textId="77777777" w:rsidR="007F7440" w:rsidRPr="00311E37" w:rsidRDefault="004C2F9B" w:rsidP="007F7440">
            <w:pPr>
              <w:spacing w:before="60" w:after="60"/>
              <w:rPr>
                <w:color w:val="595959"/>
              </w:rPr>
            </w:pPr>
            <w:r w:rsidRPr="008F26CB">
              <w:rPr>
                <w:b/>
                <w:color w:val="5083C9"/>
              </w:rPr>
              <w:t xml:space="preserve">Code §6055 </w:t>
            </w:r>
            <w:r w:rsidR="00BF11FD">
              <w:rPr>
                <w:b/>
                <w:color w:val="5083C9"/>
              </w:rPr>
              <w:t>r</w:t>
            </w:r>
            <w:r w:rsidRPr="008F26CB">
              <w:rPr>
                <w:b/>
                <w:color w:val="5083C9"/>
              </w:rPr>
              <w:t>eporting</w:t>
            </w:r>
            <w:r w:rsidRPr="00311E37">
              <w:rPr>
                <w:b/>
                <w:color w:val="595959"/>
              </w:rPr>
              <w:t>—</w:t>
            </w:r>
            <w:r>
              <w:rPr>
                <w:color w:val="595959"/>
              </w:rPr>
              <w:t>Employers that are not ALEs and sponsor</w:t>
            </w:r>
            <w:r w:rsidRPr="00311E37">
              <w:rPr>
                <w:color w:val="595959"/>
              </w:rPr>
              <w:t xml:space="preserve"> self-insured health plans </w:t>
            </w:r>
            <w:r>
              <w:rPr>
                <w:color w:val="595959"/>
              </w:rPr>
              <w:t>mu</w:t>
            </w:r>
            <w:r w:rsidRPr="00311E37">
              <w:rPr>
                <w:color w:val="595959"/>
              </w:rPr>
              <w:t xml:space="preserve">st file an annual return with the IRS regarding the health coverage. These employers must also provide a related annual statement to covered individuals. </w:t>
            </w:r>
          </w:p>
          <w:p w14:paraId="513BC7A5" w14:textId="77777777" w:rsidR="007F7440" w:rsidRPr="00311E37" w:rsidRDefault="004C2F9B" w:rsidP="007F7440">
            <w:pPr>
              <w:spacing w:before="60" w:after="60"/>
              <w:rPr>
                <w:color w:val="595959"/>
              </w:rPr>
            </w:pPr>
            <w:r w:rsidRPr="00311E37">
              <w:rPr>
                <w:color w:val="595959"/>
              </w:rPr>
              <w:t>The deadlines for these returns and statements are as follows:</w:t>
            </w:r>
          </w:p>
          <w:p w14:paraId="7D66EF90" w14:textId="77777777" w:rsidR="007F7440" w:rsidRPr="00311E37" w:rsidRDefault="004C2F9B" w:rsidP="007F7440">
            <w:pPr>
              <w:numPr>
                <w:ilvl w:val="0"/>
                <w:numId w:val="20"/>
              </w:numPr>
              <w:spacing w:before="60" w:after="60"/>
              <w:ind w:left="301" w:hanging="180"/>
              <w:rPr>
                <w:color w:val="595959"/>
              </w:rPr>
            </w:pPr>
            <w:r w:rsidRPr="00311E37">
              <w:rPr>
                <w:color w:val="595959"/>
              </w:rPr>
              <w:t>Section 6055 returns</w:t>
            </w:r>
            <w:r>
              <w:rPr>
                <w:color w:val="595959"/>
              </w:rPr>
              <w:t xml:space="preserve"> (</w:t>
            </w:r>
            <w:r w:rsidRPr="004D0349">
              <w:rPr>
                <w:color w:val="595959"/>
              </w:rPr>
              <w:t>IRS Forms 1094-B</w:t>
            </w:r>
            <w:r w:rsidRPr="004D0349">
              <w:rPr>
                <w:color w:val="595959"/>
              </w:rPr>
              <w:t xml:space="preserve"> and 1095-B</w:t>
            </w:r>
            <w:r>
              <w:rPr>
                <w:color w:val="595959"/>
              </w:rPr>
              <w:t>)</w:t>
            </w:r>
            <w:r w:rsidRPr="00311E37">
              <w:rPr>
                <w:color w:val="595959"/>
              </w:rPr>
              <w:t xml:space="preserve"> must be filed with the IRS annually, no later than Feb. 28 (March 31, if filed electronically) of the year after </w:t>
            </w:r>
            <w:r>
              <w:rPr>
                <w:color w:val="595959"/>
              </w:rPr>
              <w:t>the calendar year in which the coverage i</w:t>
            </w:r>
            <w:r w:rsidRPr="00311E37">
              <w:rPr>
                <w:color w:val="595959"/>
              </w:rPr>
              <w:t xml:space="preserve">s provided. </w:t>
            </w:r>
          </w:p>
          <w:p w14:paraId="7101535B" w14:textId="77777777" w:rsidR="007F7440" w:rsidRPr="00761944" w:rsidRDefault="004C2F9B" w:rsidP="007F7440">
            <w:pPr>
              <w:numPr>
                <w:ilvl w:val="0"/>
                <w:numId w:val="20"/>
              </w:numPr>
              <w:spacing w:before="60" w:after="60"/>
              <w:ind w:left="301" w:hanging="180"/>
              <w:rPr>
                <w:color w:val="595959"/>
              </w:rPr>
            </w:pPr>
            <w:r w:rsidRPr="00311E37">
              <w:rPr>
                <w:color w:val="595959"/>
              </w:rPr>
              <w:t xml:space="preserve">The statements for covered individuals </w:t>
            </w:r>
            <w:r>
              <w:rPr>
                <w:color w:val="595959"/>
              </w:rPr>
              <w:t>(</w:t>
            </w:r>
            <w:r w:rsidRPr="004D0349">
              <w:rPr>
                <w:color w:val="595959"/>
              </w:rPr>
              <w:t>IRS Form 1095-B</w:t>
            </w:r>
            <w:r>
              <w:rPr>
                <w:color w:val="595959"/>
              </w:rPr>
              <w:t xml:space="preserve">) </w:t>
            </w:r>
            <w:r w:rsidRPr="00311E37">
              <w:rPr>
                <w:color w:val="595959"/>
              </w:rPr>
              <w:t>must be provided by</w:t>
            </w:r>
            <w:r w:rsidRPr="00311E37">
              <w:rPr>
                <w:color w:val="595959"/>
              </w:rPr>
              <w:t xml:space="preserve"> Jan. 31 of the year after</w:t>
            </w:r>
            <w:r>
              <w:rPr>
                <w:color w:val="595959"/>
              </w:rPr>
              <w:t xml:space="preserve"> the calendar year in which the coverage </w:t>
            </w:r>
            <w:r w:rsidRPr="00311E37">
              <w:rPr>
                <w:color w:val="595959"/>
              </w:rPr>
              <w:t xml:space="preserve">is provided. </w:t>
            </w:r>
            <w:r w:rsidRPr="000F5552">
              <w:rPr>
                <w:i/>
                <w:color w:val="595959"/>
              </w:rPr>
              <w:t xml:space="preserve">The IRS </w:t>
            </w:r>
            <w:r>
              <w:rPr>
                <w:i/>
                <w:color w:val="595959"/>
              </w:rPr>
              <w:t>extended the deadline for furnishing the 201</w:t>
            </w:r>
            <w:r w:rsidR="008F26CB">
              <w:rPr>
                <w:i/>
                <w:color w:val="595959"/>
              </w:rPr>
              <w:t>9</w:t>
            </w:r>
            <w:r>
              <w:rPr>
                <w:i/>
                <w:color w:val="595959"/>
              </w:rPr>
              <w:t xml:space="preserve"> individual</w:t>
            </w:r>
            <w:r w:rsidRPr="000F5552">
              <w:rPr>
                <w:i/>
                <w:color w:val="595959"/>
              </w:rPr>
              <w:t xml:space="preserve"> st</w:t>
            </w:r>
            <w:r>
              <w:rPr>
                <w:i/>
                <w:color w:val="595959"/>
              </w:rPr>
              <w:t xml:space="preserve">atements, </w:t>
            </w:r>
            <w:r>
              <w:rPr>
                <w:i/>
                <w:color w:val="595959"/>
              </w:rPr>
              <w:lastRenderedPageBreak/>
              <w:t>from Jan. 31, 20</w:t>
            </w:r>
            <w:r w:rsidR="008F26CB">
              <w:rPr>
                <w:i/>
                <w:color w:val="595959"/>
              </w:rPr>
              <w:t>20</w:t>
            </w:r>
            <w:r>
              <w:rPr>
                <w:i/>
                <w:color w:val="595959"/>
              </w:rPr>
              <w:t xml:space="preserve">, to March </w:t>
            </w:r>
            <w:r w:rsidR="008F26CB">
              <w:rPr>
                <w:i/>
                <w:color w:val="595959"/>
              </w:rPr>
              <w:t>2</w:t>
            </w:r>
            <w:r>
              <w:rPr>
                <w:i/>
                <w:color w:val="595959"/>
              </w:rPr>
              <w:t>, 20</w:t>
            </w:r>
            <w:r w:rsidR="008F26CB">
              <w:rPr>
                <w:i/>
                <w:color w:val="595959"/>
              </w:rPr>
              <w:t>20</w:t>
            </w:r>
            <w:r>
              <w:rPr>
                <w:i/>
                <w:color w:val="595959"/>
              </w:rPr>
              <w:t xml:space="preserve">. </w:t>
            </w:r>
            <w:r w:rsidRPr="000F5552">
              <w:rPr>
                <w:i/>
                <w:color w:val="595959"/>
              </w:rPr>
              <w:t xml:space="preserve">  </w:t>
            </w:r>
          </w:p>
        </w:tc>
        <w:tc>
          <w:tcPr>
            <w:tcW w:w="4455" w:type="dxa"/>
            <w:shd w:val="clear" w:color="auto" w:fill="EDEDED" w:themeFill="accent3" w:themeFillTint="33"/>
          </w:tcPr>
          <w:p w14:paraId="5AE7C790" w14:textId="77777777" w:rsidR="007F7440" w:rsidRDefault="004C2F9B" w:rsidP="007F7440">
            <w:pPr>
              <w:spacing w:before="60" w:after="60"/>
              <w:rPr>
                <w:color w:val="595959"/>
              </w:rPr>
            </w:pPr>
            <w:r w:rsidRPr="00311E37">
              <w:rPr>
                <w:color w:val="595959"/>
              </w:rPr>
              <w:lastRenderedPageBreak/>
              <w:t>The ACA requires health insurance issuers, self-insured health plan sponsors, government agencies that administer government-sponsored health insurance programs and any other entity that provides MEC to report information on that coverage to the IRS and co</w:t>
            </w:r>
            <w:r w:rsidRPr="00311E37">
              <w:rPr>
                <w:color w:val="595959"/>
              </w:rPr>
              <w:t xml:space="preserve">vered individuals. This requirement is found in Code section 6055. </w:t>
            </w:r>
          </w:p>
          <w:p w14:paraId="08DFC2BF" w14:textId="77777777" w:rsidR="007F7440" w:rsidRPr="00311E37" w:rsidRDefault="004C2F9B" w:rsidP="007F7440">
            <w:pPr>
              <w:spacing w:before="60" w:after="60"/>
              <w:rPr>
                <w:color w:val="595959"/>
              </w:rPr>
            </w:pPr>
            <w:r>
              <w:rPr>
                <w:color w:val="595959"/>
              </w:rPr>
              <w:t>T</w:t>
            </w:r>
            <w:r w:rsidRPr="00311E37">
              <w:rPr>
                <w:color w:val="595959"/>
              </w:rPr>
              <w:t>hese reporting requirements are intended to provide the IRS with information necessary to administer certain ACA mandates, such as the shared responsibility penalties for ALEs and the ind</w:t>
            </w:r>
            <w:r w:rsidRPr="00311E37">
              <w:rPr>
                <w:color w:val="595959"/>
              </w:rPr>
              <w:t>ividual mandate.</w:t>
            </w:r>
          </w:p>
          <w:p w14:paraId="0B3ECE4A" w14:textId="77777777" w:rsidR="007F7440" w:rsidRPr="00311E37" w:rsidRDefault="004C2F9B" w:rsidP="007F7440">
            <w:pPr>
              <w:spacing w:before="60" w:after="60"/>
              <w:rPr>
                <w:color w:val="595959"/>
              </w:rPr>
            </w:pPr>
            <w:r w:rsidRPr="00311E37">
              <w:rPr>
                <w:color w:val="595959"/>
              </w:rPr>
              <w:t>To simplify the reporting process, the IRS allows ALEs with self-insured plans to use a single combined form for reporting the information required under both section 6055 and section 6056.</w:t>
            </w:r>
          </w:p>
        </w:tc>
      </w:tr>
      <w:tr w:rsidR="00960533" w14:paraId="0CF90414" w14:textId="77777777" w:rsidTr="00F474DA">
        <w:trPr>
          <w:jc w:val="center"/>
        </w:trPr>
        <w:tc>
          <w:tcPr>
            <w:tcW w:w="1732" w:type="dxa"/>
            <w:shd w:val="clear" w:color="auto" w:fill="EDEDED" w:themeFill="accent3" w:themeFillTint="33"/>
            <w:vAlign w:val="center"/>
          </w:tcPr>
          <w:p w14:paraId="607F6B50" w14:textId="77777777" w:rsidR="007F7440" w:rsidRPr="00311E37" w:rsidRDefault="004C2F9B" w:rsidP="007F7440">
            <w:pPr>
              <w:spacing w:before="60" w:after="60"/>
              <w:jc w:val="center"/>
              <w:rPr>
                <w:b/>
                <w:color w:val="32607A"/>
              </w:rPr>
            </w:pPr>
            <w:r w:rsidRPr="00BD6D90">
              <w:rPr>
                <w:b/>
                <w:color w:val="5083C9"/>
              </w:rPr>
              <w:t>Americans with Disabilities Act (ADA) – Wellness</w:t>
            </w:r>
            <w:r w:rsidRPr="00BD6D90">
              <w:rPr>
                <w:b/>
                <w:color w:val="5083C9"/>
              </w:rPr>
              <w:t xml:space="preserve"> plan notice</w:t>
            </w:r>
          </w:p>
        </w:tc>
        <w:tc>
          <w:tcPr>
            <w:tcW w:w="1688" w:type="dxa"/>
            <w:shd w:val="clear" w:color="auto" w:fill="EDEDED" w:themeFill="accent3" w:themeFillTint="33"/>
            <w:vAlign w:val="center"/>
          </w:tcPr>
          <w:p w14:paraId="1344D7C6" w14:textId="77777777" w:rsidR="007F7440" w:rsidRPr="00311E37" w:rsidRDefault="004C2F9B" w:rsidP="007F7440">
            <w:pPr>
              <w:spacing w:before="60" w:after="60"/>
              <w:jc w:val="center"/>
              <w:rPr>
                <w:color w:val="595959"/>
              </w:rPr>
            </w:pPr>
            <w:r>
              <w:rPr>
                <w:color w:val="595959"/>
              </w:rPr>
              <w:t>Employers that are subject to the ADA (15 or more employees) and sponsor wellness programs that collect health information</w:t>
            </w:r>
          </w:p>
        </w:tc>
        <w:tc>
          <w:tcPr>
            <w:tcW w:w="2835" w:type="dxa"/>
            <w:shd w:val="clear" w:color="auto" w:fill="EDEDED" w:themeFill="accent3" w:themeFillTint="33"/>
          </w:tcPr>
          <w:p w14:paraId="53167622" w14:textId="77777777" w:rsidR="007F7440" w:rsidRPr="00311E37" w:rsidRDefault="004C2F9B" w:rsidP="007F7440">
            <w:pPr>
              <w:spacing w:before="60" w:after="60"/>
              <w:rPr>
                <w:b/>
                <w:color w:val="BE5A1C"/>
              </w:rPr>
            </w:pPr>
            <w:r w:rsidRPr="00BD6D90">
              <w:rPr>
                <w:b/>
                <w:color w:val="5083C9"/>
              </w:rPr>
              <w:t>Notice for wellness programs that collect health information</w:t>
            </w:r>
            <w:r w:rsidRPr="00BD6D90">
              <w:rPr>
                <w:rStyle w:val="BodyTextChar"/>
                <w:rFonts w:eastAsiaTheme="minorHAnsi"/>
              </w:rPr>
              <w:t>—</w:t>
            </w:r>
            <w:r>
              <w:rPr>
                <w:color w:val="595959"/>
              </w:rPr>
              <w:t>E</w:t>
            </w:r>
            <w:r w:rsidRPr="00DA5B1C">
              <w:rPr>
                <w:color w:val="595959"/>
              </w:rPr>
              <w:t>mployers that sponsor wellness programs that collect health information must provide a notice to participating employees. Although employers are not required to provide the notice at a specific time, employees must receive it before providing any health in</w:t>
            </w:r>
            <w:r w:rsidRPr="00DA5B1C">
              <w:rPr>
                <w:color w:val="595959"/>
              </w:rPr>
              <w:t xml:space="preserve">formation, and with </w:t>
            </w:r>
            <w:r w:rsidRPr="00572860">
              <w:rPr>
                <w:color w:val="595959"/>
              </w:rPr>
              <w:t xml:space="preserve">enough time to decide whether to participate in the program. Waiting until after </w:t>
            </w:r>
            <w:r>
              <w:rPr>
                <w:color w:val="595959"/>
              </w:rPr>
              <w:t>an employee has completed a health risk assessment</w:t>
            </w:r>
            <w:r w:rsidR="002C215D">
              <w:rPr>
                <w:color w:val="595959"/>
              </w:rPr>
              <w:t xml:space="preserve"> (HRA)</w:t>
            </w:r>
            <w:r>
              <w:rPr>
                <w:color w:val="595959"/>
              </w:rPr>
              <w:t xml:space="preserve"> </w:t>
            </w:r>
            <w:r w:rsidRPr="00572860">
              <w:rPr>
                <w:color w:val="595959"/>
              </w:rPr>
              <w:t>or medical examination t</w:t>
            </w:r>
            <w:r>
              <w:rPr>
                <w:color w:val="595959"/>
              </w:rPr>
              <w:t xml:space="preserve">o provide the notice is not permitted. </w:t>
            </w:r>
          </w:p>
        </w:tc>
        <w:tc>
          <w:tcPr>
            <w:tcW w:w="4455" w:type="dxa"/>
            <w:shd w:val="clear" w:color="auto" w:fill="EDEDED" w:themeFill="accent3" w:themeFillTint="33"/>
          </w:tcPr>
          <w:p w14:paraId="1FBEE0D4" w14:textId="77777777" w:rsidR="007F7440" w:rsidRPr="000F6497" w:rsidRDefault="004C2F9B" w:rsidP="007F7440">
            <w:pPr>
              <w:spacing w:before="60" w:after="60"/>
              <w:rPr>
                <w:color w:val="595959"/>
              </w:rPr>
            </w:pPr>
            <w:r w:rsidRPr="000F6497">
              <w:rPr>
                <w:color w:val="595959"/>
              </w:rPr>
              <w:t>Many wellness programs ask employe</w:t>
            </w:r>
            <w:r w:rsidRPr="000F6497">
              <w:rPr>
                <w:color w:val="595959"/>
              </w:rPr>
              <w:t>es to answer questions o</w:t>
            </w:r>
            <w:r>
              <w:rPr>
                <w:color w:val="595959"/>
              </w:rPr>
              <w:t>n an HRA</w:t>
            </w:r>
            <w:r w:rsidRPr="000F6497">
              <w:rPr>
                <w:color w:val="595959"/>
              </w:rPr>
              <w:t xml:space="preserve"> or to undergo biometric screenings for risk factors (such as high blood pressure or cholesterol).</w:t>
            </w:r>
            <w:r>
              <w:rPr>
                <w:color w:val="595959"/>
              </w:rPr>
              <w:t xml:space="preserve"> These inquiries and exams are permitted under the ADA if they are part of a voluntary wellness program. One of the requiremen</w:t>
            </w:r>
            <w:r>
              <w:rPr>
                <w:color w:val="595959"/>
              </w:rPr>
              <w:t>ts for a voluntary wellness program is that e</w:t>
            </w:r>
            <w:r w:rsidRPr="000F6497">
              <w:rPr>
                <w:color w:val="595959"/>
              </w:rPr>
              <w:t xml:space="preserve">mployers </w:t>
            </w:r>
            <w:r>
              <w:rPr>
                <w:color w:val="595959"/>
              </w:rPr>
              <w:t xml:space="preserve">must </w:t>
            </w:r>
            <w:r w:rsidRPr="000F6497">
              <w:rPr>
                <w:color w:val="595959"/>
              </w:rPr>
              <w:t xml:space="preserve">give participating employees a notice that tells them what information will be collected as part of the wellness program, with whom it will be shared and for what purpose, the limits on disclosure </w:t>
            </w:r>
            <w:r w:rsidRPr="000F6497">
              <w:rPr>
                <w:color w:val="595959"/>
              </w:rPr>
              <w:t xml:space="preserve">and the way information will be kept confidential. </w:t>
            </w:r>
          </w:p>
          <w:p w14:paraId="78C3DCC2" w14:textId="77777777" w:rsidR="007F7440" w:rsidRPr="00311E37" w:rsidRDefault="004C2F9B" w:rsidP="007F7440">
            <w:pPr>
              <w:spacing w:before="60" w:after="60"/>
              <w:rPr>
                <w:color w:val="595959"/>
              </w:rPr>
            </w:pPr>
            <w:r>
              <w:rPr>
                <w:color w:val="595959"/>
              </w:rPr>
              <w:t xml:space="preserve">The EEOC has provided a </w:t>
            </w:r>
            <w:hyperlink r:id="rId23" w:history="1">
              <w:r w:rsidRPr="000F6497">
                <w:rPr>
                  <w:rStyle w:val="Hyperlink"/>
                </w:rPr>
                <w:t>sample notice</w:t>
              </w:r>
            </w:hyperlink>
            <w:r w:rsidRPr="000F6497">
              <w:rPr>
                <w:color w:val="595959"/>
              </w:rPr>
              <w:t xml:space="preserve"> to help employers comply with this ADA requirement. </w:t>
            </w:r>
          </w:p>
        </w:tc>
      </w:tr>
      <w:tr w:rsidR="00960533" w14:paraId="0D72264D" w14:textId="77777777" w:rsidTr="00F474DA">
        <w:trPr>
          <w:jc w:val="center"/>
        </w:trPr>
        <w:tc>
          <w:tcPr>
            <w:tcW w:w="1732" w:type="dxa"/>
            <w:vMerge w:val="restart"/>
            <w:shd w:val="clear" w:color="auto" w:fill="EDEDED" w:themeFill="accent3" w:themeFillTint="33"/>
            <w:vAlign w:val="center"/>
          </w:tcPr>
          <w:p w14:paraId="481E21A5" w14:textId="77777777" w:rsidR="007F7440" w:rsidRPr="00311E37" w:rsidRDefault="004C2F9B" w:rsidP="007F7440">
            <w:pPr>
              <w:spacing w:before="60" w:after="60"/>
              <w:jc w:val="center"/>
              <w:rPr>
                <w:b/>
                <w:color w:val="32607A"/>
              </w:rPr>
            </w:pPr>
            <w:r w:rsidRPr="002C215D">
              <w:rPr>
                <w:b/>
                <w:color w:val="5083C9"/>
              </w:rPr>
              <w:t>COBRA</w:t>
            </w:r>
          </w:p>
        </w:tc>
        <w:tc>
          <w:tcPr>
            <w:tcW w:w="1688" w:type="dxa"/>
            <w:vMerge w:val="restart"/>
            <w:shd w:val="clear" w:color="auto" w:fill="EDEDED" w:themeFill="accent3" w:themeFillTint="33"/>
            <w:vAlign w:val="center"/>
          </w:tcPr>
          <w:p w14:paraId="46FDA17D" w14:textId="77777777" w:rsidR="007F7440" w:rsidRPr="00311E37" w:rsidRDefault="004C2F9B" w:rsidP="007F7440">
            <w:pPr>
              <w:spacing w:before="60" w:after="60"/>
              <w:jc w:val="center"/>
              <w:rPr>
                <w:color w:val="595959"/>
              </w:rPr>
            </w:pPr>
            <w:r w:rsidRPr="00311E37">
              <w:rPr>
                <w:color w:val="595959"/>
              </w:rPr>
              <w:t>Employers that had 20 or mor</w:t>
            </w:r>
            <w:r w:rsidRPr="00311E37">
              <w:rPr>
                <w:color w:val="595959"/>
              </w:rPr>
              <w:t>e employees on more than 50 percent of the typical business days during the previous calendar year</w:t>
            </w:r>
          </w:p>
          <w:p w14:paraId="0B291D7E" w14:textId="77777777" w:rsidR="007F7440" w:rsidRPr="00311E37" w:rsidRDefault="004C2F9B" w:rsidP="007F7440">
            <w:pPr>
              <w:spacing w:before="60" w:after="60"/>
              <w:jc w:val="center"/>
              <w:rPr>
                <w:color w:val="595959"/>
              </w:rPr>
            </w:pPr>
            <w:r w:rsidRPr="00311E37">
              <w:rPr>
                <w:color w:val="595959"/>
              </w:rPr>
              <w:t>Government and church plans are exempt</w:t>
            </w:r>
          </w:p>
        </w:tc>
        <w:tc>
          <w:tcPr>
            <w:tcW w:w="2835" w:type="dxa"/>
            <w:shd w:val="clear" w:color="auto" w:fill="EDEDED" w:themeFill="accent3" w:themeFillTint="33"/>
          </w:tcPr>
          <w:p w14:paraId="435D1F86" w14:textId="77777777" w:rsidR="007F7440" w:rsidRPr="00311E37" w:rsidRDefault="004C2F9B" w:rsidP="007F7440">
            <w:pPr>
              <w:spacing w:before="60" w:after="60"/>
              <w:rPr>
                <w:color w:val="595959"/>
              </w:rPr>
            </w:pPr>
            <w:r w:rsidRPr="002C215D">
              <w:rPr>
                <w:b/>
                <w:color w:val="5083C9"/>
              </w:rPr>
              <w:t>Initial/General COBRA notice</w:t>
            </w:r>
            <w:r w:rsidRPr="00311E37">
              <w:rPr>
                <w:color w:val="595959"/>
              </w:rPr>
              <w:t xml:space="preserve">—Plan administrator must provide generally within 90 days of when group health plan </w:t>
            </w:r>
            <w:r w:rsidRPr="00311E37">
              <w:rPr>
                <w:color w:val="595959"/>
              </w:rPr>
              <w:t>coverage begins.</w:t>
            </w:r>
          </w:p>
        </w:tc>
        <w:tc>
          <w:tcPr>
            <w:tcW w:w="4455" w:type="dxa"/>
            <w:shd w:val="clear" w:color="auto" w:fill="EDEDED" w:themeFill="accent3" w:themeFillTint="33"/>
          </w:tcPr>
          <w:p w14:paraId="668F2CB9" w14:textId="77777777" w:rsidR="007F7440" w:rsidRPr="00311E37" w:rsidRDefault="004C2F9B" w:rsidP="007F7440">
            <w:pPr>
              <w:spacing w:before="60" w:after="60"/>
              <w:rPr>
                <w:color w:val="595959"/>
              </w:rPr>
            </w:pPr>
            <w:r w:rsidRPr="00311E37">
              <w:rPr>
                <w:color w:val="595959"/>
              </w:rPr>
              <w:t>Notice to covered employees and covered spouses of the right to purchase temporary extension of group health coverage when coverage is lost due to a qualifying event.</w:t>
            </w:r>
          </w:p>
          <w:p w14:paraId="1DB39544" w14:textId="77777777" w:rsidR="007F7440" w:rsidRPr="00311E37" w:rsidRDefault="004C2F9B" w:rsidP="007F7440">
            <w:pPr>
              <w:spacing w:before="60" w:after="60"/>
              <w:rPr>
                <w:b/>
                <w:color w:val="595959"/>
              </w:rPr>
            </w:pPr>
            <w:r w:rsidRPr="00311E37">
              <w:rPr>
                <w:color w:val="595959"/>
              </w:rPr>
              <w:t xml:space="preserve">A </w:t>
            </w:r>
            <w:hyperlink r:id="rId24" w:history="1">
              <w:r w:rsidRPr="007367A6">
                <w:rPr>
                  <w:rStyle w:val="Hyperlink"/>
                </w:rPr>
                <w:t>model General COBRA Notice</w:t>
              </w:r>
            </w:hyperlink>
            <w:r>
              <w:rPr>
                <w:color w:val="595959"/>
              </w:rPr>
              <w:t xml:space="preserve"> is available from the DOL. </w:t>
            </w:r>
          </w:p>
        </w:tc>
      </w:tr>
      <w:tr w:rsidR="00960533" w14:paraId="7E30FE48" w14:textId="77777777" w:rsidTr="00F474DA">
        <w:trPr>
          <w:jc w:val="center"/>
        </w:trPr>
        <w:tc>
          <w:tcPr>
            <w:tcW w:w="1732" w:type="dxa"/>
            <w:vMerge/>
          </w:tcPr>
          <w:p w14:paraId="6F340E38" w14:textId="77777777" w:rsidR="007F7440" w:rsidRPr="00311E37" w:rsidRDefault="007F7440" w:rsidP="007F7440">
            <w:pPr>
              <w:spacing w:before="60" w:after="60"/>
              <w:rPr>
                <w:color w:val="595959"/>
              </w:rPr>
            </w:pPr>
          </w:p>
        </w:tc>
        <w:tc>
          <w:tcPr>
            <w:tcW w:w="1688" w:type="dxa"/>
            <w:vMerge/>
          </w:tcPr>
          <w:p w14:paraId="3B1267AA"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4C1FBF32" w14:textId="77777777" w:rsidR="007F7440" w:rsidRPr="00311E37" w:rsidRDefault="004C2F9B" w:rsidP="007F7440">
            <w:pPr>
              <w:spacing w:before="60" w:after="60"/>
              <w:rPr>
                <w:color w:val="595959"/>
              </w:rPr>
            </w:pPr>
            <w:r w:rsidRPr="002C215D">
              <w:rPr>
                <w:b/>
                <w:color w:val="5083C9"/>
              </w:rPr>
              <w:t>Notice to plan administrator</w:t>
            </w:r>
            <w:r w:rsidRPr="00311E37">
              <w:rPr>
                <w:color w:val="595959"/>
              </w:rPr>
              <w:t xml:space="preserve">—Employer must notify plan administrator within 30 days of a) qualifying event or b) the date coverage would be lost as a result of the </w:t>
            </w:r>
            <w:r w:rsidRPr="00311E37">
              <w:rPr>
                <w:color w:val="595959"/>
              </w:rPr>
              <w:lastRenderedPageBreak/>
              <w:t>qualifying event, whic</w:t>
            </w:r>
            <w:r w:rsidRPr="00311E37">
              <w:rPr>
                <w:color w:val="595959"/>
              </w:rPr>
              <w:t>hever is later.</w:t>
            </w:r>
          </w:p>
        </w:tc>
        <w:tc>
          <w:tcPr>
            <w:tcW w:w="4455" w:type="dxa"/>
            <w:shd w:val="clear" w:color="auto" w:fill="EDEDED" w:themeFill="accent3" w:themeFillTint="33"/>
          </w:tcPr>
          <w:p w14:paraId="78F6C437" w14:textId="77777777" w:rsidR="007F7440" w:rsidRPr="00311E37" w:rsidRDefault="004C2F9B" w:rsidP="007F7440">
            <w:pPr>
              <w:spacing w:before="60" w:after="60"/>
              <w:rPr>
                <w:color w:val="595959"/>
              </w:rPr>
            </w:pPr>
            <w:r w:rsidRPr="00311E37">
              <w:rPr>
                <w:color w:val="595959"/>
              </w:rPr>
              <w:lastRenderedPageBreak/>
              <w:t xml:space="preserve">Notice of certain qualifying events must be sent to plan administrator when employer is not plan administrator (for example, employer has contracted with a third party to administer COBRA). </w:t>
            </w:r>
          </w:p>
          <w:p w14:paraId="2DD27721" w14:textId="77777777" w:rsidR="007F7440" w:rsidRPr="00311E37" w:rsidRDefault="004C2F9B" w:rsidP="007F7440">
            <w:pPr>
              <w:spacing w:before="60" w:after="60"/>
              <w:rPr>
                <w:color w:val="595959"/>
              </w:rPr>
            </w:pPr>
            <w:r w:rsidRPr="00311E37">
              <w:rPr>
                <w:color w:val="595959"/>
              </w:rPr>
              <w:t>The following qualifying events trigger the emplo</w:t>
            </w:r>
            <w:r w:rsidRPr="00311E37">
              <w:rPr>
                <w:color w:val="595959"/>
              </w:rPr>
              <w:t xml:space="preserve">yer’s notice requirement: (a) employee’s termination or reduction in hours; (b) </w:t>
            </w:r>
            <w:r w:rsidRPr="00311E37">
              <w:rPr>
                <w:color w:val="595959"/>
              </w:rPr>
              <w:lastRenderedPageBreak/>
              <w:t>employee’s death; (c) employee’s Medicare entitlement; and (d) employer’s bankruptcy.</w:t>
            </w:r>
          </w:p>
        </w:tc>
      </w:tr>
      <w:tr w:rsidR="00960533" w14:paraId="010F6158" w14:textId="77777777" w:rsidTr="00F474DA">
        <w:trPr>
          <w:jc w:val="center"/>
        </w:trPr>
        <w:tc>
          <w:tcPr>
            <w:tcW w:w="1732" w:type="dxa"/>
            <w:vMerge/>
          </w:tcPr>
          <w:p w14:paraId="3898136E" w14:textId="77777777" w:rsidR="007F7440" w:rsidRPr="00311E37" w:rsidRDefault="007F7440" w:rsidP="007F7440">
            <w:pPr>
              <w:spacing w:before="60" w:after="60"/>
              <w:rPr>
                <w:color w:val="595959"/>
              </w:rPr>
            </w:pPr>
          </w:p>
        </w:tc>
        <w:tc>
          <w:tcPr>
            <w:tcW w:w="1688" w:type="dxa"/>
            <w:vMerge/>
          </w:tcPr>
          <w:p w14:paraId="3D2E45CB"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333846A0" w14:textId="77777777" w:rsidR="007F7440" w:rsidRPr="00311E37" w:rsidRDefault="004C2F9B" w:rsidP="007F7440">
            <w:pPr>
              <w:spacing w:before="60" w:after="60"/>
              <w:rPr>
                <w:color w:val="595959"/>
              </w:rPr>
            </w:pPr>
            <w:r w:rsidRPr="002C215D">
              <w:rPr>
                <w:b/>
                <w:color w:val="5083C9"/>
              </w:rPr>
              <w:t>COBRA election notice</w:t>
            </w:r>
            <w:r w:rsidRPr="00311E37">
              <w:rPr>
                <w:color w:val="595959"/>
              </w:rPr>
              <w:t xml:space="preserve">—Plan administrator must generally provide within 14 days </w:t>
            </w:r>
            <w:r w:rsidRPr="00311E37">
              <w:rPr>
                <w:color w:val="595959"/>
              </w:rPr>
              <w:t>after being notified by the employer or qualified beneficiary of the qualifying event (or 44 days after qualifying event if employer is also plan administrator).</w:t>
            </w:r>
          </w:p>
        </w:tc>
        <w:tc>
          <w:tcPr>
            <w:tcW w:w="4455" w:type="dxa"/>
            <w:shd w:val="clear" w:color="auto" w:fill="EDEDED" w:themeFill="accent3" w:themeFillTint="33"/>
          </w:tcPr>
          <w:p w14:paraId="10FA45B7" w14:textId="77777777" w:rsidR="007F7440" w:rsidRPr="00311E37" w:rsidRDefault="004C2F9B" w:rsidP="007F7440">
            <w:pPr>
              <w:spacing w:before="60" w:after="60"/>
              <w:rPr>
                <w:color w:val="595959"/>
              </w:rPr>
            </w:pPr>
            <w:r w:rsidRPr="00311E37">
              <w:rPr>
                <w:color w:val="595959"/>
              </w:rPr>
              <w:t>Notice to qualified beneficiaries of their right to elect COBRA coverage upon occurrence of qu</w:t>
            </w:r>
            <w:r w:rsidRPr="00311E37">
              <w:rPr>
                <w:color w:val="595959"/>
              </w:rPr>
              <w:t>alifying event.  Qualified beneficiaries may be covered employees, covered spouses and dependent children.</w:t>
            </w:r>
          </w:p>
          <w:p w14:paraId="6C512BEF" w14:textId="77777777" w:rsidR="007F7440" w:rsidRPr="00311E37" w:rsidRDefault="004C2F9B" w:rsidP="007F7440">
            <w:pPr>
              <w:spacing w:before="60" w:after="60"/>
              <w:rPr>
                <w:color w:val="595959"/>
              </w:rPr>
            </w:pPr>
            <w:r w:rsidRPr="00311E37">
              <w:rPr>
                <w:color w:val="595959"/>
              </w:rPr>
              <w:t xml:space="preserve">A </w:t>
            </w:r>
            <w:hyperlink r:id="rId25" w:history="1">
              <w:r w:rsidRPr="007367A6">
                <w:rPr>
                  <w:rStyle w:val="Hyperlink"/>
                </w:rPr>
                <w:t>model COBRA Election Notice</w:t>
              </w:r>
            </w:hyperlink>
            <w:r>
              <w:rPr>
                <w:color w:val="595959"/>
              </w:rPr>
              <w:t xml:space="preserve"> is available from the DOL. </w:t>
            </w:r>
          </w:p>
        </w:tc>
      </w:tr>
      <w:tr w:rsidR="00960533" w14:paraId="1B18B68A" w14:textId="77777777" w:rsidTr="00F474DA">
        <w:trPr>
          <w:jc w:val="center"/>
        </w:trPr>
        <w:tc>
          <w:tcPr>
            <w:tcW w:w="1732" w:type="dxa"/>
            <w:vMerge/>
          </w:tcPr>
          <w:p w14:paraId="461627A3" w14:textId="77777777" w:rsidR="007F7440" w:rsidRPr="00311E37" w:rsidRDefault="007F7440" w:rsidP="007F7440">
            <w:pPr>
              <w:spacing w:before="60" w:after="60"/>
              <w:rPr>
                <w:color w:val="595959"/>
              </w:rPr>
            </w:pPr>
          </w:p>
        </w:tc>
        <w:tc>
          <w:tcPr>
            <w:tcW w:w="1688" w:type="dxa"/>
            <w:vMerge/>
          </w:tcPr>
          <w:p w14:paraId="5AFB7AAC"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7C9DF159" w14:textId="77777777" w:rsidR="007F7440" w:rsidRPr="00311E37" w:rsidRDefault="004C2F9B" w:rsidP="007F7440">
            <w:pPr>
              <w:spacing w:before="60" w:after="60"/>
              <w:rPr>
                <w:color w:val="595959"/>
              </w:rPr>
            </w:pPr>
            <w:r w:rsidRPr="002C215D">
              <w:rPr>
                <w:b/>
                <w:color w:val="5083C9"/>
              </w:rPr>
              <w:t>Notice</w:t>
            </w:r>
            <w:r w:rsidRPr="002C215D">
              <w:rPr>
                <w:b/>
                <w:color w:val="5083C9"/>
              </w:rPr>
              <w:t xml:space="preserve"> of unavailability of COBRA</w:t>
            </w:r>
            <w:r w:rsidRPr="00311E37">
              <w:rPr>
                <w:color w:val="595959"/>
              </w:rPr>
              <w:t>—Plan administrator must provide this notice generally within 14 days after being notified by the individual of the qualifying event (or 44 days after qualifying event if employer is also plan administrator).</w:t>
            </w:r>
          </w:p>
        </w:tc>
        <w:tc>
          <w:tcPr>
            <w:tcW w:w="4455" w:type="dxa"/>
            <w:shd w:val="clear" w:color="auto" w:fill="EDEDED" w:themeFill="accent3" w:themeFillTint="33"/>
          </w:tcPr>
          <w:p w14:paraId="5240CD81" w14:textId="77777777" w:rsidR="007F7440" w:rsidRPr="00311E37" w:rsidRDefault="004C2F9B" w:rsidP="007F7440">
            <w:pPr>
              <w:spacing w:before="60" w:after="60"/>
              <w:rPr>
                <w:color w:val="595959"/>
              </w:rPr>
            </w:pPr>
            <w:r w:rsidRPr="00311E37">
              <w:rPr>
                <w:color w:val="595959"/>
              </w:rPr>
              <w:t>Plan administrator m</w:t>
            </w:r>
            <w:r w:rsidRPr="00311E37">
              <w:rPr>
                <w:color w:val="595959"/>
              </w:rPr>
              <w:t>ust send a notice that an individual is not entitled to COBRA coverage to those individuals who provide notice to the plan administrator of a qualifying event whom the plan administrator determines are not eligible for COBRA coverage.</w:t>
            </w:r>
          </w:p>
        </w:tc>
      </w:tr>
      <w:tr w:rsidR="00960533" w14:paraId="3DC7261F" w14:textId="77777777" w:rsidTr="00F474DA">
        <w:trPr>
          <w:trHeight w:val="1421"/>
          <w:jc w:val="center"/>
        </w:trPr>
        <w:tc>
          <w:tcPr>
            <w:tcW w:w="1732" w:type="dxa"/>
            <w:vMerge/>
          </w:tcPr>
          <w:p w14:paraId="1E1F9C75" w14:textId="77777777" w:rsidR="007F7440" w:rsidRPr="00311E37" w:rsidRDefault="007F7440" w:rsidP="007F7440">
            <w:pPr>
              <w:spacing w:before="60" w:after="60"/>
              <w:rPr>
                <w:color w:val="595959"/>
              </w:rPr>
            </w:pPr>
          </w:p>
        </w:tc>
        <w:tc>
          <w:tcPr>
            <w:tcW w:w="1688" w:type="dxa"/>
            <w:vMerge/>
          </w:tcPr>
          <w:p w14:paraId="3DC2038E"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570F2A43" w14:textId="77777777" w:rsidR="007F7440" w:rsidRPr="00311E37" w:rsidRDefault="004C2F9B" w:rsidP="007F7440">
            <w:pPr>
              <w:spacing w:before="60" w:after="60"/>
              <w:rPr>
                <w:color w:val="595959"/>
              </w:rPr>
            </w:pPr>
            <w:r w:rsidRPr="002C215D">
              <w:rPr>
                <w:b/>
                <w:color w:val="5083C9"/>
              </w:rPr>
              <w:t xml:space="preserve">Notice of </w:t>
            </w:r>
            <w:r w:rsidRPr="002C215D">
              <w:rPr>
                <w:b/>
                <w:color w:val="5083C9"/>
              </w:rPr>
              <w:t>early termination of COBRA coverage</w:t>
            </w:r>
            <w:r w:rsidRPr="00311E37">
              <w:rPr>
                <w:color w:val="595959"/>
              </w:rPr>
              <w:t>—Plan administrator must provide as soon as practicable following the plan administrator’s determination that coverage will terminate.</w:t>
            </w:r>
          </w:p>
        </w:tc>
        <w:tc>
          <w:tcPr>
            <w:tcW w:w="4455" w:type="dxa"/>
            <w:shd w:val="clear" w:color="auto" w:fill="EDEDED" w:themeFill="accent3" w:themeFillTint="33"/>
          </w:tcPr>
          <w:p w14:paraId="7BD537B5" w14:textId="77777777" w:rsidR="007F7440" w:rsidRPr="00311E37" w:rsidRDefault="004C2F9B" w:rsidP="007F7440">
            <w:pPr>
              <w:spacing w:before="60" w:after="60"/>
              <w:rPr>
                <w:color w:val="595959"/>
              </w:rPr>
            </w:pPr>
            <w:r w:rsidRPr="00311E37">
              <w:rPr>
                <w:color w:val="595959"/>
              </w:rPr>
              <w:t xml:space="preserve">Notice to qualified beneficiaries that COBRA coverage will terminate earlier than the </w:t>
            </w:r>
            <w:r w:rsidRPr="00311E37">
              <w:rPr>
                <w:color w:val="595959"/>
              </w:rPr>
              <w:t xml:space="preserve">maximum period of coverage. The notice must include the reason for early termination, date of termination and any rights that qualified beneficiary may have to elect alternative group or individual coverage, such as a conversion right. </w:t>
            </w:r>
          </w:p>
        </w:tc>
      </w:tr>
      <w:tr w:rsidR="00960533" w14:paraId="7189A6C0" w14:textId="77777777" w:rsidTr="00F474DA">
        <w:trPr>
          <w:jc w:val="center"/>
        </w:trPr>
        <w:tc>
          <w:tcPr>
            <w:tcW w:w="1732" w:type="dxa"/>
            <w:vMerge/>
          </w:tcPr>
          <w:p w14:paraId="1C0E4769" w14:textId="77777777" w:rsidR="007F7440" w:rsidRPr="00311E37" w:rsidRDefault="007F7440" w:rsidP="007F7440">
            <w:pPr>
              <w:spacing w:before="60" w:after="60"/>
              <w:rPr>
                <w:color w:val="595959"/>
              </w:rPr>
            </w:pPr>
          </w:p>
        </w:tc>
        <w:tc>
          <w:tcPr>
            <w:tcW w:w="1688" w:type="dxa"/>
            <w:vMerge/>
          </w:tcPr>
          <w:p w14:paraId="6AD639F2"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3779D899" w14:textId="77777777" w:rsidR="007F7440" w:rsidRPr="00311E37" w:rsidRDefault="004C2F9B" w:rsidP="007F7440">
            <w:pPr>
              <w:spacing w:before="60" w:after="60"/>
              <w:rPr>
                <w:color w:val="595959"/>
              </w:rPr>
            </w:pPr>
            <w:r w:rsidRPr="002C215D">
              <w:rPr>
                <w:b/>
                <w:color w:val="5083C9"/>
              </w:rPr>
              <w:t>Notice of insuff</w:t>
            </w:r>
            <w:r w:rsidRPr="002C215D">
              <w:rPr>
                <w:b/>
                <w:color w:val="5083C9"/>
              </w:rPr>
              <w:t>icient payment</w:t>
            </w:r>
            <w:r w:rsidRPr="00311E37">
              <w:rPr>
                <w:color w:val="595959"/>
              </w:rPr>
              <w:t>—Plan administrator must provide reasonable period of time to cure deficiency before terminating COBRA (for example, 30-day grace period).</w:t>
            </w:r>
          </w:p>
        </w:tc>
        <w:tc>
          <w:tcPr>
            <w:tcW w:w="4455" w:type="dxa"/>
            <w:shd w:val="clear" w:color="auto" w:fill="EDEDED" w:themeFill="accent3" w:themeFillTint="33"/>
          </w:tcPr>
          <w:p w14:paraId="58773DC5" w14:textId="77777777" w:rsidR="007F7440" w:rsidRPr="00311E37" w:rsidRDefault="004C2F9B" w:rsidP="007F7440">
            <w:pPr>
              <w:spacing w:before="60" w:after="60"/>
              <w:rPr>
                <w:color w:val="595959"/>
              </w:rPr>
            </w:pPr>
            <w:r w:rsidRPr="00311E37">
              <w:rPr>
                <w:color w:val="595959"/>
              </w:rPr>
              <w:t xml:space="preserve">Plan administrator must notify qualified beneficiary that payment for COBRA was not significantly less </w:t>
            </w:r>
            <w:r w:rsidRPr="00311E37">
              <w:rPr>
                <w:color w:val="595959"/>
              </w:rPr>
              <w:t xml:space="preserve">than the correct amount before coverage is terminated for nonpayment. A </w:t>
            </w:r>
            <w:r w:rsidRPr="0067568B">
              <w:rPr>
                <w:color w:val="595959"/>
              </w:rPr>
              <w:t>payment i</w:t>
            </w:r>
            <w:r w:rsidRPr="00311E37">
              <w:rPr>
                <w:color w:val="595959"/>
              </w:rPr>
              <w:t xml:space="preserve">s not significantly less than the amount required if the deficiency is no greater than the lesser of $50.00 or 10 percent of the amount the plan requires to be paid. </w:t>
            </w:r>
          </w:p>
        </w:tc>
      </w:tr>
      <w:tr w:rsidR="00960533" w14:paraId="7D92B053" w14:textId="77777777" w:rsidTr="00F474DA">
        <w:trPr>
          <w:jc w:val="center"/>
        </w:trPr>
        <w:tc>
          <w:tcPr>
            <w:tcW w:w="1732" w:type="dxa"/>
            <w:vMerge/>
          </w:tcPr>
          <w:p w14:paraId="48CEFB13" w14:textId="77777777" w:rsidR="007F7440" w:rsidRPr="00311E37" w:rsidRDefault="007F7440" w:rsidP="007F7440">
            <w:pPr>
              <w:spacing w:before="60" w:after="60"/>
              <w:rPr>
                <w:color w:val="595959"/>
              </w:rPr>
            </w:pPr>
          </w:p>
        </w:tc>
        <w:tc>
          <w:tcPr>
            <w:tcW w:w="1688" w:type="dxa"/>
            <w:vMerge/>
          </w:tcPr>
          <w:p w14:paraId="4782F453"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05E3E7A0" w14:textId="77777777" w:rsidR="007F7440" w:rsidRPr="00311E37" w:rsidRDefault="004C2F9B" w:rsidP="007F7440">
            <w:pPr>
              <w:spacing w:before="60" w:after="60"/>
              <w:rPr>
                <w:color w:val="595959"/>
              </w:rPr>
            </w:pPr>
            <w:r w:rsidRPr="002C215D">
              <w:rPr>
                <w:b/>
                <w:color w:val="5083C9"/>
              </w:rPr>
              <w:t>Premium change notice</w:t>
            </w:r>
            <w:r w:rsidRPr="00311E37">
              <w:rPr>
                <w:color w:val="595959"/>
              </w:rPr>
              <w:t>—Plan administrator should provide at least one month prior to effective date.</w:t>
            </w:r>
          </w:p>
        </w:tc>
        <w:tc>
          <w:tcPr>
            <w:tcW w:w="4455" w:type="dxa"/>
            <w:shd w:val="clear" w:color="auto" w:fill="EDEDED" w:themeFill="accent3" w:themeFillTint="33"/>
          </w:tcPr>
          <w:p w14:paraId="1339A5F1" w14:textId="77777777" w:rsidR="007F7440" w:rsidRPr="00311E37" w:rsidRDefault="004C2F9B" w:rsidP="007F7440">
            <w:pPr>
              <w:spacing w:before="60" w:after="60"/>
              <w:rPr>
                <w:color w:val="595959"/>
              </w:rPr>
            </w:pPr>
            <w:r w:rsidRPr="00311E37">
              <w:rPr>
                <w:color w:val="595959"/>
              </w:rPr>
              <w:t>COBRA does not explicitly require advance notice of a premium increase. However, COBRA regulations provide that if a COBRA premium payment is short by an am</w:t>
            </w:r>
            <w:r w:rsidRPr="00311E37">
              <w:rPr>
                <w:color w:val="595959"/>
              </w:rPr>
              <w:t xml:space="preserve">ount that is insignificant, the qualified beneficiary must be provided notice of such underpayment and a reasonable amount of time to make the payment difference. </w:t>
            </w:r>
          </w:p>
          <w:p w14:paraId="259FC699" w14:textId="77777777" w:rsidR="007F7440" w:rsidRPr="00311E37" w:rsidRDefault="004C2F9B" w:rsidP="007F7440">
            <w:pPr>
              <w:spacing w:before="60" w:after="60"/>
              <w:rPr>
                <w:color w:val="595959"/>
              </w:rPr>
            </w:pPr>
            <w:r w:rsidRPr="00311E37">
              <w:rPr>
                <w:color w:val="595959"/>
              </w:rPr>
              <w:t>Also, COBRA requires equal coverage and, to some extent, equal treatment between COBRA quali</w:t>
            </w:r>
            <w:r w:rsidRPr="00311E37">
              <w:rPr>
                <w:color w:val="595959"/>
              </w:rPr>
              <w:t xml:space="preserve">fied beneficiaries and similarly situated non-COBRA beneficiaries. </w:t>
            </w:r>
          </w:p>
        </w:tc>
      </w:tr>
      <w:tr w:rsidR="00960533" w14:paraId="50895E84" w14:textId="77777777" w:rsidTr="00F474DA">
        <w:trPr>
          <w:jc w:val="center"/>
        </w:trPr>
        <w:tc>
          <w:tcPr>
            <w:tcW w:w="1732" w:type="dxa"/>
            <w:vMerge w:val="restart"/>
            <w:shd w:val="clear" w:color="auto" w:fill="EDEDED" w:themeFill="accent3" w:themeFillTint="33"/>
            <w:vAlign w:val="center"/>
          </w:tcPr>
          <w:p w14:paraId="7F834AB2" w14:textId="77777777" w:rsidR="007F7440" w:rsidRPr="00311E37" w:rsidRDefault="004C2F9B" w:rsidP="007F7440">
            <w:pPr>
              <w:spacing w:before="60" w:after="60"/>
              <w:jc w:val="center"/>
              <w:rPr>
                <w:b/>
                <w:color w:val="32607A"/>
              </w:rPr>
            </w:pPr>
            <w:r w:rsidRPr="002C215D">
              <w:rPr>
                <w:b/>
                <w:color w:val="5083C9"/>
              </w:rPr>
              <w:t>ERISA</w:t>
            </w:r>
          </w:p>
        </w:tc>
        <w:tc>
          <w:tcPr>
            <w:tcW w:w="1688" w:type="dxa"/>
            <w:vMerge w:val="restart"/>
            <w:shd w:val="clear" w:color="auto" w:fill="EDEDED" w:themeFill="accent3" w:themeFillTint="33"/>
            <w:vAlign w:val="center"/>
          </w:tcPr>
          <w:p w14:paraId="6AD59A41" w14:textId="77777777" w:rsidR="007F7440" w:rsidRPr="00311E37" w:rsidRDefault="004C2F9B" w:rsidP="007F7440">
            <w:pPr>
              <w:spacing w:before="60" w:after="60"/>
              <w:jc w:val="center"/>
              <w:rPr>
                <w:color w:val="595959"/>
              </w:rPr>
            </w:pPr>
            <w:r w:rsidRPr="00311E37">
              <w:rPr>
                <w:color w:val="595959"/>
              </w:rPr>
              <w:t>ERISA employee welfare benefit plans, unless exempted</w:t>
            </w:r>
          </w:p>
        </w:tc>
        <w:tc>
          <w:tcPr>
            <w:tcW w:w="2835" w:type="dxa"/>
            <w:shd w:val="clear" w:color="auto" w:fill="EDEDED" w:themeFill="accent3" w:themeFillTint="33"/>
          </w:tcPr>
          <w:p w14:paraId="1F8B98BD" w14:textId="77777777" w:rsidR="007F7440" w:rsidRPr="00311E37" w:rsidRDefault="004C2F9B" w:rsidP="007F7440">
            <w:pPr>
              <w:spacing w:before="60" w:after="60"/>
              <w:rPr>
                <w:color w:val="595959"/>
              </w:rPr>
            </w:pPr>
            <w:r w:rsidRPr="002C215D">
              <w:rPr>
                <w:b/>
                <w:color w:val="5083C9"/>
              </w:rPr>
              <w:t>Summary plan descriptions</w:t>
            </w:r>
            <w:r w:rsidRPr="002C215D">
              <w:rPr>
                <w:color w:val="5083C9"/>
              </w:rPr>
              <w:t xml:space="preserve"> </w:t>
            </w:r>
            <w:r w:rsidRPr="00311E37">
              <w:rPr>
                <w:color w:val="595959"/>
              </w:rPr>
              <w:t xml:space="preserve">-Plan administrator must provide automatically to participants within 90 days of becoming covered by </w:t>
            </w:r>
            <w:r w:rsidRPr="00311E37">
              <w:rPr>
                <w:color w:val="595959"/>
              </w:rPr>
              <w:t>the plan (though a new plan has 120 days after becoming subject to ERISA to distribute SPD). Updated SPD must be furnished every 5 years if changes made to SPD information or plan is amended. Otherwise, must furnish every 10 years.</w:t>
            </w:r>
          </w:p>
        </w:tc>
        <w:tc>
          <w:tcPr>
            <w:tcW w:w="4455" w:type="dxa"/>
            <w:shd w:val="clear" w:color="auto" w:fill="EDEDED" w:themeFill="accent3" w:themeFillTint="33"/>
          </w:tcPr>
          <w:p w14:paraId="496F5E81" w14:textId="77777777" w:rsidR="007F7440" w:rsidRPr="00311E37" w:rsidRDefault="004C2F9B" w:rsidP="007F7440">
            <w:pPr>
              <w:spacing w:before="60" w:after="60"/>
              <w:rPr>
                <w:color w:val="595959"/>
              </w:rPr>
            </w:pPr>
            <w:r w:rsidRPr="00311E37">
              <w:rPr>
                <w:color w:val="595959"/>
              </w:rPr>
              <w:t>The SPD is the primary v</w:t>
            </w:r>
            <w:r w:rsidRPr="00311E37">
              <w:rPr>
                <w:color w:val="595959"/>
              </w:rPr>
              <w:t xml:space="preserve">ehicle for informing participants and beneficiaries about their plan and how it operates. Must be written for average participant and be sufficiently comprehensive to apprise covered persons of their benefits, rights and obligations under the plan.  </w:t>
            </w:r>
          </w:p>
        </w:tc>
      </w:tr>
      <w:tr w:rsidR="00960533" w14:paraId="6D5D2918" w14:textId="77777777" w:rsidTr="00F474DA">
        <w:trPr>
          <w:jc w:val="center"/>
        </w:trPr>
        <w:tc>
          <w:tcPr>
            <w:tcW w:w="1732" w:type="dxa"/>
            <w:vMerge/>
            <w:shd w:val="clear" w:color="auto" w:fill="EDEDED" w:themeFill="accent3" w:themeFillTint="33"/>
          </w:tcPr>
          <w:p w14:paraId="40FBDE1F" w14:textId="77777777" w:rsidR="007F7440" w:rsidRPr="00311E37" w:rsidRDefault="007F7440" w:rsidP="007F7440">
            <w:pPr>
              <w:spacing w:before="60" w:after="60"/>
              <w:rPr>
                <w:color w:val="595959"/>
              </w:rPr>
            </w:pPr>
          </w:p>
        </w:tc>
        <w:tc>
          <w:tcPr>
            <w:tcW w:w="1688" w:type="dxa"/>
            <w:vMerge/>
            <w:shd w:val="clear" w:color="auto" w:fill="EDEDED" w:themeFill="accent3" w:themeFillTint="33"/>
          </w:tcPr>
          <w:p w14:paraId="198521E2"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23718DAE" w14:textId="77777777" w:rsidR="007F7440" w:rsidRPr="00311E37" w:rsidRDefault="004C2F9B" w:rsidP="007F7440">
            <w:pPr>
              <w:spacing w:before="60" w:after="60"/>
              <w:rPr>
                <w:color w:val="595959"/>
              </w:rPr>
            </w:pPr>
            <w:r w:rsidRPr="002C215D">
              <w:rPr>
                <w:b/>
                <w:color w:val="5083C9"/>
              </w:rPr>
              <w:t>Summary of material modification</w:t>
            </w:r>
            <w:r w:rsidRPr="00311E37">
              <w:rPr>
                <w:color w:val="595959"/>
              </w:rPr>
              <w:t xml:space="preserve">—Plan administrators must provide automatically to participants   within 210 days after the end of the plan year in which the change is adopted. </w:t>
            </w:r>
          </w:p>
          <w:p w14:paraId="565516FD" w14:textId="77777777" w:rsidR="007F7440" w:rsidRPr="00311E37" w:rsidRDefault="004C2F9B" w:rsidP="007F7440">
            <w:pPr>
              <w:spacing w:before="60" w:after="60"/>
              <w:rPr>
                <w:color w:val="595959"/>
              </w:rPr>
            </w:pPr>
            <w:r w:rsidRPr="00311E37">
              <w:rPr>
                <w:color w:val="595959"/>
              </w:rPr>
              <w:t xml:space="preserve">If benefits or services are materially reduced, participants must be provided </w:t>
            </w:r>
            <w:r w:rsidRPr="00311E37">
              <w:rPr>
                <w:color w:val="595959"/>
              </w:rPr>
              <w:t xml:space="preserve">notice within 60 days from adoption. </w:t>
            </w:r>
          </w:p>
          <w:p w14:paraId="195FCC64" w14:textId="77777777" w:rsidR="007F7440" w:rsidRPr="00311E37" w:rsidRDefault="004C2F9B" w:rsidP="007F7440">
            <w:pPr>
              <w:spacing w:before="60" w:after="60"/>
              <w:rPr>
                <w:color w:val="595959"/>
              </w:rPr>
            </w:pPr>
            <w:r w:rsidRPr="00807762">
              <w:rPr>
                <w:color w:val="595959"/>
              </w:rPr>
              <w:lastRenderedPageBreak/>
              <w:t>Plan administrators and issuers must provide 60 days’ advance notice of any material modification to plan terms or coverage that takes effect mid-plan year and affects the content of the SBC. The 60-day notice can be p</w:t>
            </w:r>
            <w:r w:rsidRPr="00807762">
              <w:rPr>
                <w:color w:val="595959"/>
              </w:rPr>
              <w:t>rovided to participants through an updated SBC or by issuing an SMM.</w:t>
            </w:r>
          </w:p>
        </w:tc>
        <w:tc>
          <w:tcPr>
            <w:tcW w:w="4455" w:type="dxa"/>
            <w:shd w:val="clear" w:color="auto" w:fill="EDEDED" w:themeFill="accent3" w:themeFillTint="33"/>
          </w:tcPr>
          <w:p w14:paraId="0B30E210" w14:textId="77777777" w:rsidR="007F7440" w:rsidRPr="00311E37" w:rsidRDefault="004C2F9B" w:rsidP="007F7440">
            <w:pPr>
              <w:spacing w:before="60" w:after="60"/>
              <w:rPr>
                <w:color w:val="595959"/>
              </w:rPr>
            </w:pPr>
            <w:r w:rsidRPr="00311E37">
              <w:rPr>
                <w:color w:val="595959"/>
              </w:rPr>
              <w:lastRenderedPageBreak/>
              <w:t>Describes material modifications to a plan and changes in the information required to be in the SPD. Distribution of updated SPD satisfies this requirement.</w:t>
            </w:r>
          </w:p>
        </w:tc>
      </w:tr>
      <w:tr w:rsidR="00960533" w14:paraId="44DFDDA4" w14:textId="77777777" w:rsidTr="00F474DA">
        <w:trPr>
          <w:jc w:val="center"/>
        </w:trPr>
        <w:tc>
          <w:tcPr>
            <w:tcW w:w="1732" w:type="dxa"/>
            <w:vMerge/>
          </w:tcPr>
          <w:p w14:paraId="29FE8125" w14:textId="77777777" w:rsidR="007F7440" w:rsidRPr="00311E37" w:rsidRDefault="007F7440" w:rsidP="007F7440">
            <w:pPr>
              <w:spacing w:before="60" w:after="60"/>
              <w:rPr>
                <w:color w:val="595959"/>
              </w:rPr>
            </w:pPr>
          </w:p>
        </w:tc>
        <w:tc>
          <w:tcPr>
            <w:tcW w:w="1688" w:type="dxa"/>
            <w:vMerge/>
          </w:tcPr>
          <w:p w14:paraId="23AD32FF"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468A3036" w14:textId="77777777" w:rsidR="007F7440" w:rsidRPr="00311E37" w:rsidRDefault="004C2F9B" w:rsidP="007F7440">
            <w:pPr>
              <w:spacing w:before="60" w:after="60"/>
              <w:rPr>
                <w:color w:val="595959"/>
              </w:rPr>
            </w:pPr>
            <w:r w:rsidRPr="002C215D">
              <w:rPr>
                <w:b/>
                <w:color w:val="5083C9"/>
              </w:rPr>
              <w:t>Plan documents</w:t>
            </w:r>
            <w:r w:rsidRPr="00311E37">
              <w:rPr>
                <w:color w:val="595959"/>
              </w:rPr>
              <w:t xml:space="preserve">—Plan </w:t>
            </w:r>
            <w:r w:rsidRPr="00311E37">
              <w:rPr>
                <w:color w:val="595959"/>
              </w:rPr>
              <w:t>administrator must provide copies no later than 30 days after a written request and make copies available at specified locations.</w:t>
            </w:r>
          </w:p>
        </w:tc>
        <w:tc>
          <w:tcPr>
            <w:tcW w:w="4455" w:type="dxa"/>
            <w:shd w:val="clear" w:color="auto" w:fill="EDEDED" w:themeFill="accent3" w:themeFillTint="33"/>
          </w:tcPr>
          <w:p w14:paraId="3E685DB6" w14:textId="77777777" w:rsidR="007F7440" w:rsidRPr="00311E37" w:rsidRDefault="004C2F9B" w:rsidP="007F7440">
            <w:pPr>
              <w:spacing w:before="60" w:after="60"/>
              <w:rPr>
                <w:color w:val="595959"/>
              </w:rPr>
            </w:pPr>
            <w:r w:rsidRPr="00311E37">
              <w:rPr>
                <w:color w:val="595959"/>
              </w:rPr>
              <w:t xml:space="preserve">The plan administrator must furnish copies of certain documents upon written request by a participant and/or </w:t>
            </w:r>
            <w:r w:rsidRPr="00311E37">
              <w:rPr>
                <w:color w:val="595959"/>
              </w:rPr>
              <w:t>beneficiary and must have copies available for examination. The documents include the latest updated SPD, latest Form 5500, trust agreement, and other instruments under which the plan is established or operated.</w:t>
            </w:r>
          </w:p>
        </w:tc>
      </w:tr>
      <w:tr w:rsidR="00960533" w14:paraId="0A72E51E" w14:textId="77777777" w:rsidTr="00F474DA">
        <w:trPr>
          <w:jc w:val="center"/>
        </w:trPr>
        <w:tc>
          <w:tcPr>
            <w:tcW w:w="1732" w:type="dxa"/>
            <w:vMerge/>
          </w:tcPr>
          <w:p w14:paraId="5B46C434" w14:textId="77777777" w:rsidR="007F7440" w:rsidRPr="00311E37" w:rsidRDefault="007F7440" w:rsidP="007F7440">
            <w:pPr>
              <w:spacing w:before="60" w:after="60"/>
              <w:rPr>
                <w:color w:val="595959"/>
              </w:rPr>
            </w:pPr>
          </w:p>
        </w:tc>
        <w:tc>
          <w:tcPr>
            <w:tcW w:w="1688" w:type="dxa"/>
            <w:vMerge/>
          </w:tcPr>
          <w:p w14:paraId="44E1E0BF"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2877E1C5" w14:textId="77777777" w:rsidR="007F7440" w:rsidRPr="00311E37" w:rsidRDefault="004C2F9B" w:rsidP="007F7440">
            <w:pPr>
              <w:spacing w:before="60" w:after="60"/>
              <w:rPr>
                <w:color w:val="595959"/>
              </w:rPr>
            </w:pPr>
            <w:r w:rsidRPr="002C215D">
              <w:rPr>
                <w:b/>
                <w:color w:val="5083C9"/>
              </w:rPr>
              <w:t>Form 5500</w:t>
            </w:r>
            <w:r w:rsidRPr="00311E37">
              <w:rPr>
                <w:color w:val="595959"/>
              </w:rPr>
              <w:t xml:space="preserve">—Plan administrator </w:t>
            </w:r>
            <w:r w:rsidRPr="00311E37">
              <w:rPr>
                <w:color w:val="595959"/>
              </w:rPr>
              <w:t>generally must file by the last day of the seventh month following the end of the plan year, unless an extension has been granted.  For calendar year plans, the deadline is normally July 31 of the following year.</w:t>
            </w:r>
          </w:p>
          <w:p w14:paraId="1A1D0900" w14:textId="77777777" w:rsidR="007F7440" w:rsidRPr="00311E37" w:rsidRDefault="004C2F9B" w:rsidP="007F7440">
            <w:pPr>
              <w:spacing w:before="60" w:after="60"/>
              <w:rPr>
                <w:color w:val="595959"/>
              </w:rPr>
            </w:pPr>
            <w:r w:rsidRPr="00311E37">
              <w:rPr>
                <w:color w:val="595959"/>
              </w:rPr>
              <w:t>Small health plans (less than 100 participa</w:t>
            </w:r>
            <w:r w:rsidRPr="00311E37">
              <w:rPr>
                <w:color w:val="595959"/>
              </w:rPr>
              <w:t>nts) that are fully insured, unfunded or a combination insured/unfunded, are generally exempt from the Form 5500 filing requirement.</w:t>
            </w:r>
          </w:p>
        </w:tc>
        <w:tc>
          <w:tcPr>
            <w:tcW w:w="4455" w:type="dxa"/>
            <w:shd w:val="clear" w:color="auto" w:fill="EDEDED" w:themeFill="accent3" w:themeFillTint="33"/>
          </w:tcPr>
          <w:p w14:paraId="66EF14F2" w14:textId="77777777" w:rsidR="007F7440" w:rsidRPr="00311E37" w:rsidRDefault="004C2F9B" w:rsidP="007F7440">
            <w:pPr>
              <w:spacing w:before="60" w:after="60"/>
              <w:rPr>
                <w:color w:val="595959"/>
              </w:rPr>
            </w:pPr>
            <w:r>
              <w:rPr>
                <w:color w:val="595959"/>
              </w:rPr>
              <w:t xml:space="preserve">The </w:t>
            </w:r>
            <w:r w:rsidRPr="00311E37">
              <w:rPr>
                <w:color w:val="595959"/>
              </w:rPr>
              <w:t xml:space="preserve">Form 5500 </w:t>
            </w:r>
            <w:r>
              <w:rPr>
                <w:color w:val="595959"/>
              </w:rPr>
              <w:t xml:space="preserve">is the annual return or report for an employee benefit plan. The </w:t>
            </w:r>
            <w:r w:rsidRPr="00311E37">
              <w:rPr>
                <w:color w:val="595959"/>
              </w:rPr>
              <w:t>filing requirements</w:t>
            </w:r>
            <w:r>
              <w:rPr>
                <w:color w:val="595959"/>
              </w:rPr>
              <w:t xml:space="preserve"> vary according to the ty</w:t>
            </w:r>
            <w:r>
              <w:rPr>
                <w:color w:val="595959"/>
              </w:rPr>
              <w:t xml:space="preserve">pe of plan. </w:t>
            </w:r>
            <w:r w:rsidRPr="00311E37">
              <w:rPr>
                <w:color w:val="595959"/>
              </w:rPr>
              <w:t xml:space="preserve">Certain employee benefit plans are exempt from the annual reporting requirements or are eligible for limited reporting options.  </w:t>
            </w:r>
          </w:p>
          <w:p w14:paraId="7D0380D8" w14:textId="77777777" w:rsidR="007F7440" w:rsidRPr="00311E37" w:rsidRDefault="004C2F9B" w:rsidP="007F7440">
            <w:pPr>
              <w:spacing w:before="60" w:after="60"/>
              <w:rPr>
                <w:color w:val="595959"/>
              </w:rPr>
            </w:pPr>
            <w:r w:rsidRPr="00311E37">
              <w:rPr>
                <w:color w:val="595959"/>
              </w:rPr>
              <w:t>The latest Form 5500 instructions provide information on who is required to file and detailed information on filin</w:t>
            </w:r>
            <w:r w:rsidRPr="00311E37">
              <w:rPr>
                <w:color w:val="595959"/>
              </w:rPr>
              <w:t>g. These instructions are available on the DOL’s</w:t>
            </w:r>
            <w:r>
              <w:rPr>
                <w:color w:val="595959"/>
              </w:rPr>
              <w:t xml:space="preserve"> </w:t>
            </w:r>
            <w:hyperlink r:id="rId26" w:history="1">
              <w:r>
                <w:rPr>
                  <w:rStyle w:val="Hyperlink"/>
                </w:rPr>
                <w:t>website</w:t>
              </w:r>
            </w:hyperlink>
            <w:r w:rsidRPr="00311E37">
              <w:rPr>
                <w:color w:val="595959"/>
              </w:rPr>
              <w:t xml:space="preserve">. </w:t>
            </w:r>
          </w:p>
        </w:tc>
      </w:tr>
      <w:tr w:rsidR="00960533" w14:paraId="431DBB90" w14:textId="77777777" w:rsidTr="00F474DA">
        <w:trPr>
          <w:jc w:val="center"/>
        </w:trPr>
        <w:tc>
          <w:tcPr>
            <w:tcW w:w="1732" w:type="dxa"/>
            <w:vMerge/>
          </w:tcPr>
          <w:p w14:paraId="74CC731B" w14:textId="77777777" w:rsidR="007F7440" w:rsidRPr="00311E37" w:rsidRDefault="007F7440" w:rsidP="007F7440">
            <w:pPr>
              <w:spacing w:before="60" w:after="60"/>
              <w:rPr>
                <w:color w:val="595959"/>
              </w:rPr>
            </w:pPr>
          </w:p>
        </w:tc>
        <w:tc>
          <w:tcPr>
            <w:tcW w:w="1688" w:type="dxa"/>
            <w:vMerge/>
          </w:tcPr>
          <w:p w14:paraId="6268D063"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6A0F5049" w14:textId="77777777" w:rsidR="007F7440" w:rsidRPr="00311E37" w:rsidRDefault="004C2F9B" w:rsidP="007F7440">
            <w:pPr>
              <w:spacing w:before="60" w:after="60"/>
              <w:rPr>
                <w:color w:val="595959"/>
              </w:rPr>
            </w:pPr>
            <w:r w:rsidRPr="002C215D">
              <w:rPr>
                <w:b/>
                <w:color w:val="5083C9"/>
              </w:rPr>
              <w:t>Form M-1</w:t>
            </w:r>
            <w:r w:rsidRPr="00311E37">
              <w:rPr>
                <w:color w:val="595959"/>
              </w:rPr>
              <w:t>—Plan administrator must file with the DOL by M</w:t>
            </w:r>
            <w:r w:rsidRPr="00311E37">
              <w:rPr>
                <w:color w:val="595959"/>
              </w:rPr>
              <w:t>arch 1 of each year for the previous calendar year. A 60-day automatic extension is available upon request.</w:t>
            </w:r>
          </w:p>
        </w:tc>
        <w:tc>
          <w:tcPr>
            <w:tcW w:w="4455" w:type="dxa"/>
            <w:shd w:val="clear" w:color="auto" w:fill="EDEDED" w:themeFill="accent3" w:themeFillTint="33"/>
          </w:tcPr>
          <w:p w14:paraId="6887F70E" w14:textId="77777777" w:rsidR="007F7440" w:rsidRPr="00311E37" w:rsidRDefault="004C2F9B" w:rsidP="007F7440">
            <w:pPr>
              <w:spacing w:before="60" w:after="60"/>
              <w:rPr>
                <w:color w:val="595959"/>
              </w:rPr>
            </w:pPr>
            <w:r w:rsidRPr="00311E37">
              <w:rPr>
                <w:color w:val="595959"/>
              </w:rPr>
              <w:t>Form M-1 is the annual report that must be filed by multiple employer welfare arrangements (MEWAs) and entities claiming exception from MEWA status.</w:t>
            </w:r>
            <w:r w:rsidRPr="00311E37">
              <w:rPr>
                <w:color w:val="595959"/>
              </w:rPr>
              <w:t xml:space="preserve"> In general, a MEWA offers health benefits to the employees of two or more employers. More information about the M-1 filing requirement, and the online filing system, is available on the DOL’s</w:t>
            </w:r>
            <w:r>
              <w:rPr>
                <w:color w:val="595959"/>
              </w:rPr>
              <w:t xml:space="preserve"> </w:t>
            </w:r>
            <w:hyperlink r:id="rId27" w:history="1">
              <w:r>
                <w:rPr>
                  <w:rStyle w:val="Hyperlink"/>
                </w:rPr>
                <w:t>website</w:t>
              </w:r>
            </w:hyperlink>
            <w:r w:rsidRPr="00311E37">
              <w:rPr>
                <w:color w:val="595959"/>
              </w:rPr>
              <w:t xml:space="preserve">. </w:t>
            </w:r>
          </w:p>
        </w:tc>
      </w:tr>
      <w:tr w:rsidR="00960533" w14:paraId="0FEB3081" w14:textId="77777777" w:rsidTr="00F474DA">
        <w:trPr>
          <w:jc w:val="center"/>
        </w:trPr>
        <w:tc>
          <w:tcPr>
            <w:tcW w:w="1732" w:type="dxa"/>
            <w:vMerge/>
          </w:tcPr>
          <w:p w14:paraId="66B1573B" w14:textId="77777777" w:rsidR="007F7440" w:rsidRPr="00311E37" w:rsidRDefault="007F7440" w:rsidP="007F7440">
            <w:pPr>
              <w:spacing w:before="60" w:after="60"/>
              <w:rPr>
                <w:color w:val="595959"/>
              </w:rPr>
            </w:pPr>
          </w:p>
        </w:tc>
        <w:tc>
          <w:tcPr>
            <w:tcW w:w="1688" w:type="dxa"/>
            <w:vMerge/>
          </w:tcPr>
          <w:p w14:paraId="3C6C5D0F"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243ACE22" w14:textId="77777777" w:rsidR="007F7440" w:rsidRPr="00311E37" w:rsidRDefault="004C2F9B" w:rsidP="007F7440">
            <w:pPr>
              <w:spacing w:before="60" w:after="60"/>
              <w:rPr>
                <w:color w:val="595959"/>
              </w:rPr>
            </w:pPr>
            <w:r w:rsidRPr="002C215D">
              <w:rPr>
                <w:b/>
                <w:color w:val="5083C9"/>
              </w:rPr>
              <w:t>Summary annual report</w:t>
            </w:r>
            <w:r w:rsidRPr="002C215D">
              <w:rPr>
                <w:color w:val="5083C9"/>
              </w:rPr>
              <w:t xml:space="preserve"> </w:t>
            </w:r>
            <w:r w:rsidRPr="00311E37">
              <w:rPr>
                <w:color w:val="595959"/>
              </w:rPr>
              <w:t xml:space="preserve">–Plan administrators must provide automatically to participants  within 9 months after end of plan year, or 2 months after due date for filing Form </w:t>
            </w:r>
            <w:r w:rsidRPr="00311E37">
              <w:rPr>
                <w:color w:val="595959"/>
              </w:rPr>
              <w:t>5500 (with approved extension).</w:t>
            </w:r>
          </w:p>
          <w:p w14:paraId="7F02C557" w14:textId="77777777" w:rsidR="007F7440" w:rsidRPr="00311E37" w:rsidRDefault="004C2F9B" w:rsidP="007F7440">
            <w:pPr>
              <w:spacing w:before="60" w:after="60"/>
              <w:rPr>
                <w:color w:val="595959"/>
              </w:rPr>
            </w:pPr>
            <w:r w:rsidRPr="00311E37">
              <w:rPr>
                <w:color w:val="595959"/>
              </w:rPr>
              <w:t>Plans that are exempt from the annual 5500 filing requirement are not required to provide an SAR. Large, completely unfunded health plans are also generally exempt from the SAR requirement.</w:t>
            </w:r>
          </w:p>
        </w:tc>
        <w:tc>
          <w:tcPr>
            <w:tcW w:w="4455" w:type="dxa"/>
            <w:shd w:val="clear" w:color="auto" w:fill="EDEDED" w:themeFill="accent3" w:themeFillTint="33"/>
          </w:tcPr>
          <w:p w14:paraId="28599664" w14:textId="77777777" w:rsidR="007F7440" w:rsidRPr="00311E37" w:rsidRDefault="004C2F9B" w:rsidP="007F7440">
            <w:pPr>
              <w:spacing w:before="60" w:after="60"/>
              <w:rPr>
                <w:color w:val="595959"/>
              </w:rPr>
            </w:pPr>
            <w:r w:rsidRPr="00311E37">
              <w:rPr>
                <w:color w:val="595959"/>
              </w:rPr>
              <w:t>The summary annual report is a nar</w:t>
            </w:r>
            <w:r w:rsidRPr="00311E37">
              <w:rPr>
                <w:color w:val="595959"/>
              </w:rPr>
              <w:t xml:space="preserve">rative summary of the Form 5500 and includes a statement of the right to receive the annual report. </w:t>
            </w:r>
            <w:r>
              <w:rPr>
                <w:color w:val="595959"/>
              </w:rPr>
              <w:t xml:space="preserve">The DOL has a </w:t>
            </w:r>
            <w:hyperlink r:id="rId28" w:history="1">
              <w:r w:rsidRPr="00D033D5">
                <w:rPr>
                  <w:rStyle w:val="Hyperlink"/>
                </w:rPr>
                <w:t>sample SAR</w:t>
              </w:r>
            </w:hyperlink>
            <w:r w:rsidRPr="00D033D5">
              <w:rPr>
                <w:color w:val="595959"/>
              </w:rPr>
              <w:t xml:space="preserve"> for welfare plans.</w:t>
            </w:r>
          </w:p>
        </w:tc>
      </w:tr>
      <w:tr w:rsidR="00960533" w14:paraId="110722EB" w14:textId="77777777" w:rsidTr="00F474DA">
        <w:trPr>
          <w:jc w:val="center"/>
        </w:trPr>
        <w:tc>
          <w:tcPr>
            <w:tcW w:w="1732" w:type="dxa"/>
            <w:shd w:val="clear" w:color="auto" w:fill="EDEDED" w:themeFill="accent3" w:themeFillTint="33"/>
            <w:vAlign w:val="center"/>
          </w:tcPr>
          <w:p w14:paraId="4CB084DA" w14:textId="77777777" w:rsidR="007F7440" w:rsidRPr="00311E37" w:rsidRDefault="004C2F9B" w:rsidP="007F7440">
            <w:pPr>
              <w:spacing w:before="60" w:after="60"/>
              <w:jc w:val="center"/>
              <w:rPr>
                <w:b/>
                <w:color w:val="32607A"/>
              </w:rPr>
            </w:pPr>
            <w:r w:rsidRPr="00F474DA">
              <w:rPr>
                <w:b/>
                <w:color w:val="5083C9"/>
              </w:rPr>
              <w:t>Internal Revenue Code</w:t>
            </w:r>
          </w:p>
        </w:tc>
        <w:tc>
          <w:tcPr>
            <w:tcW w:w="1688" w:type="dxa"/>
            <w:shd w:val="clear" w:color="auto" w:fill="EDEDED" w:themeFill="accent3" w:themeFillTint="33"/>
            <w:vAlign w:val="center"/>
          </w:tcPr>
          <w:p w14:paraId="2AE57DAE" w14:textId="77777777" w:rsidR="007F7440" w:rsidRPr="00311E37" w:rsidRDefault="004C2F9B" w:rsidP="007F7440">
            <w:pPr>
              <w:spacing w:before="60" w:after="60"/>
              <w:jc w:val="center"/>
              <w:rPr>
                <w:color w:val="595959"/>
              </w:rPr>
            </w:pPr>
            <w:r w:rsidRPr="00311E37">
              <w:rPr>
                <w:color w:val="595959"/>
              </w:rPr>
              <w:t>Group health plans</w:t>
            </w:r>
          </w:p>
        </w:tc>
        <w:tc>
          <w:tcPr>
            <w:tcW w:w="2835" w:type="dxa"/>
            <w:shd w:val="clear" w:color="auto" w:fill="EDEDED" w:themeFill="accent3" w:themeFillTint="33"/>
          </w:tcPr>
          <w:p w14:paraId="411357EC" w14:textId="77777777" w:rsidR="007F7440" w:rsidRPr="00311E37" w:rsidRDefault="004C2F9B" w:rsidP="007F7440">
            <w:pPr>
              <w:spacing w:before="60" w:after="60"/>
              <w:rPr>
                <w:color w:val="595959"/>
              </w:rPr>
            </w:pPr>
            <w:r w:rsidRPr="00F474DA">
              <w:rPr>
                <w:b/>
                <w:color w:val="5083C9"/>
              </w:rPr>
              <w:t>IRS Form 8928—Report and Pay Excise Taxes</w:t>
            </w:r>
            <w:r w:rsidRPr="00311E37">
              <w:rPr>
                <w:color w:val="595959"/>
              </w:rPr>
              <w:t>—Generally must be filed (with the applicable excise tax) by the due date for filing the plan sponsor’s or administrator’s federal income ta</w:t>
            </w:r>
            <w:r w:rsidRPr="00311E37">
              <w:rPr>
                <w:color w:val="595959"/>
              </w:rPr>
              <w:t xml:space="preserve">x return for the year in which the failure occurred. </w:t>
            </w:r>
          </w:p>
          <w:p w14:paraId="1E20DF2A" w14:textId="77777777" w:rsidR="007F7440" w:rsidRPr="00311E37" w:rsidRDefault="004C2F9B" w:rsidP="007F7440">
            <w:pPr>
              <w:spacing w:before="60" w:after="60"/>
              <w:rPr>
                <w:color w:val="595959"/>
              </w:rPr>
            </w:pPr>
            <w:r w:rsidRPr="00311E37">
              <w:rPr>
                <w:color w:val="595959"/>
              </w:rPr>
              <w:t xml:space="preserve">An automatic extension for filing is available, although the extension does not affect the time to pay the excise </w:t>
            </w:r>
            <w:r w:rsidRPr="00311E37">
              <w:rPr>
                <w:color w:val="595959"/>
              </w:rPr>
              <w:lastRenderedPageBreak/>
              <w:t>tax. There is also limited relief for certain inadvertent failures and “reasonable cause</w:t>
            </w:r>
            <w:r w:rsidRPr="00311E37">
              <w:rPr>
                <w:color w:val="595959"/>
              </w:rPr>
              <w:t>” mistakes that are corrected within 30 days.</w:t>
            </w:r>
          </w:p>
        </w:tc>
        <w:tc>
          <w:tcPr>
            <w:tcW w:w="4455" w:type="dxa"/>
            <w:shd w:val="clear" w:color="auto" w:fill="EDEDED" w:themeFill="accent3" w:themeFillTint="33"/>
          </w:tcPr>
          <w:p w14:paraId="6E1E0D58" w14:textId="77777777" w:rsidR="007F7440" w:rsidRPr="00311E37" w:rsidRDefault="004C2F9B" w:rsidP="007F7440">
            <w:pPr>
              <w:spacing w:before="60" w:after="60"/>
              <w:rPr>
                <w:color w:val="595959"/>
              </w:rPr>
            </w:pPr>
            <w:r w:rsidRPr="00311E37">
              <w:rPr>
                <w:color w:val="595959"/>
              </w:rPr>
              <w:lastRenderedPageBreak/>
              <w:t xml:space="preserve">The </w:t>
            </w:r>
            <w:hyperlink r:id="rId29" w:history="1">
              <w:r w:rsidRPr="00F474DA">
                <w:rPr>
                  <w:rStyle w:val="Hyperlink"/>
                </w:rPr>
                <w:t>Form 8928</w:t>
              </w:r>
            </w:hyperlink>
            <w:r w:rsidRPr="00311E37">
              <w:rPr>
                <w:color w:val="595959"/>
              </w:rPr>
              <w:t xml:space="preserve"> excise tax reporting requirement applies to failures to comply with certain group health p</w:t>
            </w:r>
            <w:r>
              <w:rPr>
                <w:color w:val="595959"/>
              </w:rPr>
              <w:t>lan mandates included in the tax code</w:t>
            </w:r>
            <w:r w:rsidRPr="00311E37">
              <w:rPr>
                <w:color w:val="595959"/>
              </w:rPr>
              <w:t xml:space="preserve">, </w:t>
            </w:r>
            <w:r w:rsidRPr="00311E37">
              <w:rPr>
                <w:color w:val="595959"/>
              </w:rPr>
              <w:t>such as:</w:t>
            </w:r>
          </w:p>
          <w:p w14:paraId="11F2E6ED" w14:textId="77777777" w:rsidR="007F7440" w:rsidRPr="00311E37" w:rsidRDefault="004C2F9B" w:rsidP="007F7440">
            <w:pPr>
              <w:numPr>
                <w:ilvl w:val="0"/>
                <w:numId w:val="15"/>
              </w:numPr>
              <w:spacing w:before="60" w:after="60"/>
              <w:ind w:left="320" w:hanging="270"/>
              <w:rPr>
                <w:color w:val="595959"/>
              </w:rPr>
            </w:pPr>
            <w:r w:rsidRPr="00311E37">
              <w:rPr>
                <w:color w:val="595959"/>
              </w:rPr>
              <w:t>COBRA continuation coverage requirements;</w:t>
            </w:r>
          </w:p>
          <w:p w14:paraId="2E91D29D" w14:textId="77777777" w:rsidR="007F7440" w:rsidRPr="00311E37" w:rsidRDefault="004C2F9B" w:rsidP="007F7440">
            <w:pPr>
              <w:numPr>
                <w:ilvl w:val="0"/>
                <w:numId w:val="15"/>
              </w:numPr>
              <w:spacing w:before="60" w:after="60"/>
              <w:ind w:left="320" w:hanging="270"/>
              <w:rPr>
                <w:color w:val="595959"/>
              </w:rPr>
            </w:pPr>
            <w:r w:rsidRPr="00311E37">
              <w:rPr>
                <w:color w:val="595959"/>
              </w:rPr>
              <w:t>HIPAA’s portability, access and renewability and nondiscrimination rules;</w:t>
            </w:r>
          </w:p>
          <w:p w14:paraId="2B499393" w14:textId="77777777" w:rsidR="007F7440" w:rsidRPr="00311E37" w:rsidRDefault="004C2F9B" w:rsidP="007F7440">
            <w:pPr>
              <w:numPr>
                <w:ilvl w:val="0"/>
                <w:numId w:val="15"/>
              </w:numPr>
              <w:spacing w:before="60" w:after="60"/>
              <w:ind w:left="320" w:hanging="270"/>
              <w:rPr>
                <w:color w:val="595959"/>
              </w:rPr>
            </w:pPr>
            <w:r w:rsidRPr="00311E37">
              <w:rPr>
                <w:color w:val="595959"/>
              </w:rPr>
              <w:t xml:space="preserve">Genetic information nondiscrimination requirements; </w:t>
            </w:r>
          </w:p>
          <w:p w14:paraId="40AF2D44" w14:textId="77777777" w:rsidR="007F7440" w:rsidRPr="00311E37" w:rsidRDefault="004C2F9B" w:rsidP="007F7440">
            <w:pPr>
              <w:numPr>
                <w:ilvl w:val="0"/>
                <w:numId w:val="15"/>
              </w:numPr>
              <w:spacing w:before="60" w:after="60"/>
              <w:ind w:left="320" w:hanging="270"/>
              <w:rPr>
                <w:color w:val="595959"/>
              </w:rPr>
            </w:pPr>
            <w:r w:rsidRPr="00311E37">
              <w:rPr>
                <w:color w:val="595959"/>
              </w:rPr>
              <w:t>Mental health parity requirements; and</w:t>
            </w:r>
          </w:p>
          <w:p w14:paraId="1B6872C1" w14:textId="77777777" w:rsidR="007F7440" w:rsidRPr="00311E37" w:rsidRDefault="004C2F9B" w:rsidP="007F7440">
            <w:pPr>
              <w:numPr>
                <w:ilvl w:val="0"/>
                <w:numId w:val="15"/>
              </w:numPr>
              <w:spacing w:before="60" w:after="60"/>
              <w:ind w:left="320" w:hanging="270"/>
              <w:rPr>
                <w:color w:val="595959"/>
              </w:rPr>
            </w:pPr>
            <w:r>
              <w:rPr>
                <w:color w:val="595959"/>
              </w:rPr>
              <w:t>ACA</w:t>
            </w:r>
            <w:r w:rsidRPr="00311E37">
              <w:rPr>
                <w:color w:val="595959"/>
              </w:rPr>
              <w:t xml:space="preserve"> mandates.</w:t>
            </w:r>
          </w:p>
        </w:tc>
      </w:tr>
      <w:tr w:rsidR="00960533" w14:paraId="0263AC05" w14:textId="77777777" w:rsidTr="00F474DA">
        <w:trPr>
          <w:jc w:val="center"/>
        </w:trPr>
        <w:tc>
          <w:tcPr>
            <w:tcW w:w="1732" w:type="dxa"/>
            <w:vMerge w:val="restart"/>
            <w:shd w:val="clear" w:color="auto" w:fill="EDEDED" w:themeFill="accent3" w:themeFillTint="33"/>
            <w:vAlign w:val="center"/>
          </w:tcPr>
          <w:p w14:paraId="59D34BD0" w14:textId="77777777" w:rsidR="007F7440" w:rsidRPr="00311E37" w:rsidRDefault="004C2F9B" w:rsidP="007F7440">
            <w:pPr>
              <w:spacing w:before="60" w:after="60"/>
              <w:jc w:val="center"/>
              <w:rPr>
                <w:b/>
                <w:color w:val="32607A"/>
              </w:rPr>
            </w:pPr>
            <w:r w:rsidRPr="00F474DA">
              <w:rPr>
                <w:b/>
                <w:color w:val="5083C9"/>
              </w:rPr>
              <w:t xml:space="preserve">Family and </w:t>
            </w:r>
            <w:r w:rsidRPr="00F474DA">
              <w:rPr>
                <w:b/>
                <w:color w:val="5083C9"/>
              </w:rPr>
              <w:t>Medical Leave Act (federal FMLA)</w:t>
            </w:r>
          </w:p>
        </w:tc>
        <w:tc>
          <w:tcPr>
            <w:tcW w:w="1688" w:type="dxa"/>
            <w:vMerge w:val="restart"/>
            <w:shd w:val="clear" w:color="auto" w:fill="EDEDED" w:themeFill="accent3" w:themeFillTint="33"/>
            <w:vAlign w:val="center"/>
          </w:tcPr>
          <w:p w14:paraId="1A105E7B" w14:textId="77777777" w:rsidR="007F7440" w:rsidRPr="00311E37" w:rsidRDefault="004C2F9B" w:rsidP="007F7440">
            <w:pPr>
              <w:spacing w:before="60" w:after="60"/>
              <w:jc w:val="center"/>
              <w:rPr>
                <w:color w:val="595959"/>
              </w:rPr>
            </w:pPr>
            <w:r w:rsidRPr="00311E37">
              <w:rPr>
                <w:color w:val="595959"/>
              </w:rPr>
              <w:t>Private sector employers with 50 or more employees in 20 or more workweeks in current or preceding calendar year, as well as all public agencies and all public and private elementary and secondary  schools</w:t>
            </w:r>
          </w:p>
        </w:tc>
        <w:tc>
          <w:tcPr>
            <w:tcW w:w="2835" w:type="dxa"/>
            <w:shd w:val="clear" w:color="auto" w:fill="EDEDED" w:themeFill="accent3" w:themeFillTint="33"/>
          </w:tcPr>
          <w:p w14:paraId="01054817" w14:textId="77777777" w:rsidR="007F7440" w:rsidRPr="00311E37" w:rsidRDefault="004C2F9B" w:rsidP="007F7440">
            <w:pPr>
              <w:spacing w:before="60" w:after="60"/>
              <w:rPr>
                <w:color w:val="595959"/>
              </w:rPr>
            </w:pPr>
            <w:r w:rsidRPr="00F474DA">
              <w:rPr>
                <w:b/>
                <w:color w:val="5083C9"/>
              </w:rPr>
              <w:t xml:space="preserve">General </w:t>
            </w:r>
            <w:r w:rsidR="00BF11FD">
              <w:rPr>
                <w:b/>
                <w:color w:val="5083C9"/>
              </w:rPr>
              <w:t>n</w:t>
            </w:r>
            <w:r w:rsidRPr="00F474DA">
              <w:rPr>
                <w:b/>
                <w:color w:val="5083C9"/>
              </w:rPr>
              <w:t>otice</w:t>
            </w:r>
            <w:r w:rsidRPr="00311E37">
              <w:rPr>
                <w:color w:val="595959"/>
              </w:rPr>
              <w:t>—Mu</w:t>
            </w:r>
            <w:r w:rsidRPr="00311E37">
              <w:rPr>
                <w:color w:val="595959"/>
              </w:rPr>
              <w:t>st be posted in a location available to both employee</w:t>
            </w:r>
            <w:r>
              <w:rPr>
                <w:color w:val="595959"/>
              </w:rPr>
              <w:t xml:space="preserve">s and applicants and distributed to employees. </w:t>
            </w:r>
          </w:p>
          <w:p w14:paraId="42AB3EB2" w14:textId="77777777" w:rsidR="007F7440" w:rsidRPr="00311E37" w:rsidRDefault="007F7440" w:rsidP="007F7440">
            <w:pPr>
              <w:spacing w:before="60" w:after="60"/>
              <w:rPr>
                <w:color w:val="595959"/>
              </w:rPr>
            </w:pPr>
          </w:p>
        </w:tc>
        <w:tc>
          <w:tcPr>
            <w:tcW w:w="4455" w:type="dxa"/>
            <w:shd w:val="clear" w:color="auto" w:fill="EDEDED" w:themeFill="accent3" w:themeFillTint="33"/>
          </w:tcPr>
          <w:p w14:paraId="3E91102D" w14:textId="77777777" w:rsidR="007F7440" w:rsidRPr="00311E37" w:rsidRDefault="004C2F9B" w:rsidP="007F7440">
            <w:pPr>
              <w:spacing w:before="60" w:after="60"/>
              <w:rPr>
                <w:color w:val="595959"/>
              </w:rPr>
            </w:pPr>
            <w:r w:rsidRPr="00311E37">
              <w:rPr>
                <w:color w:val="595959"/>
              </w:rPr>
              <w:t xml:space="preserve">All covered employers are required to post a notice </w:t>
            </w:r>
            <w:r>
              <w:rPr>
                <w:color w:val="595959"/>
              </w:rPr>
              <w:t>explaining the FMLA</w:t>
            </w:r>
            <w:r w:rsidRPr="00311E37">
              <w:rPr>
                <w:color w:val="595959"/>
              </w:rPr>
              <w:t xml:space="preserve">, regardless of whether they have eligible employees. </w:t>
            </w:r>
            <w:r w:rsidRPr="00151112">
              <w:rPr>
                <w:color w:val="595959"/>
              </w:rPr>
              <w:t>In addition to displaying a poster, if a covered employer has any FMLA eligible employees, it must also</w:t>
            </w:r>
            <w:r>
              <w:rPr>
                <w:color w:val="595959"/>
              </w:rPr>
              <w:t xml:space="preserve"> </w:t>
            </w:r>
            <w:r w:rsidRPr="00151112">
              <w:rPr>
                <w:color w:val="595959"/>
              </w:rPr>
              <w:t>provide each employee with a general notice about the FMLA in t</w:t>
            </w:r>
            <w:r>
              <w:rPr>
                <w:color w:val="595959"/>
              </w:rPr>
              <w:t xml:space="preserve">he employer’s employee handbook </w:t>
            </w:r>
            <w:r w:rsidRPr="00151112">
              <w:rPr>
                <w:color w:val="595959"/>
              </w:rPr>
              <w:t xml:space="preserve">or </w:t>
            </w:r>
            <w:r w:rsidRPr="00151112">
              <w:rPr>
                <w:color w:val="595959"/>
              </w:rPr>
              <w:t>other written materials about leave and benefits. If no handbook or written leave materials exist, the</w:t>
            </w:r>
            <w:r>
              <w:rPr>
                <w:color w:val="595959"/>
              </w:rPr>
              <w:t xml:space="preserve"> </w:t>
            </w:r>
            <w:r w:rsidRPr="00151112">
              <w:rPr>
                <w:color w:val="595959"/>
              </w:rPr>
              <w:t>employer must distribute this general notice to each new employee upon hire.</w:t>
            </w:r>
            <w:r w:rsidRPr="00311E37">
              <w:rPr>
                <w:color w:val="595959"/>
              </w:rPr>
              <w:t xml:space="preserve"> </w:t>
            </w:r>
          </w:p>
          <w:p w14:paraId="5E2667A9" w14:textId="77777777" w:rsidR="007F7440" w:rsidRPr="00311E37" w:rsidRDefault="004C2F9B" w:rsidP="007F7440">
            <w:pPr>
              <w:spacing w:before="60" w:after="60"/>
              <w:rPr>
                <w:color w:val="595959"/>
              </w:rPr>
            </w:pPr>
            <w:r w:rsidRPr="00311E37">
              <w:rPr>
                <w:color w:val="595959"/>
              </w:rPr>
              <w:t xml:space="preserve">The DOL has a </w:t>
            </w:r>
            <w:hyperlink r:id="rId30" w:history="1">
              <w:r w:rsidRPr="00311E37">
                <w:rPr>
                  <w:rStyle w:val="Hyperlink"/>
                  <w:color w:val="595959"/>
                </w:rPr>
                <w:t>model poster</w:t>
              </w:r>
            </w:hyperlink>
            <w:r w:rsidR="00F474DA">
              <w:rPr>
                <w:color w:val="595959"/>
              </w:rPr>
              <w:t xml:space="preserve"> for employers to use.</w:t>
            </w:r>
          </w:p>
        </w:tc>
      </w:tr>
      <w:tr w:rsidR="00960533" w14:paraId="1C53FD22" w14:textId="77777777" w:rsidTr="00F474DA">
        <w:trPr>
          <w:jc w:val="center"/>
        </w:trPr>
        <w:tc>
          <w:tcPr>
            <w:tcW w:w="1732" w:type="dxa"/>
            <w:vMerge/>
            <w:shd w:val="clear" w:color="auto" w:fill="EDEDED" w:themeFill="accent3" w:themeFillTint="33"/>
          </w:tcPr>
          <w:p w14:paraId="44CAE554"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36CC931F"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6134E14E" w14:textId="77777777" w:rsidR="007F7440" w:rsidRPr="00311E37" w:rsidRDefault="004C2F9B" w:rsidP="007F7440">
            <w:pPr>
              <w:spacing w:before="60" w:after="60"/>
              <w:rPr>
                <w:color w:val="595959"/>
              </w:rPr>
            </w:pPr>
            <w:r w:rsidRPr="00F474DA">
              <w:rPr>
                <w:b/>
                <w:color w:val="5083C9"/>
              </w:rPr>
              <w:t xml:space="preserve">Notice of </w:t>
            </w:r>
            <w:r w:rsidR="00BF11FD" w:rsidRPr="00F474DA">
              <w:rPr>
                <w:b/>
                <w:color w:val="5083C9"/>
              </w:rPr>
              <w:t>eligibility and rights &amp; responsibilities</w:t>
            </w:r>
            <w:r w:rsidRPr="00311E37">
              <w:rPr>
                <w:color w:val="595959"/>
              </w:rPr>
              <w:t>—Employer must provide written guidance, upon employee notice of need for FMLA leave.</w:t>
            </w:r>
          </w:p>
        </w:tc>
        <w:tc>
          <w:tcPr>
            <w:tcW w:w="4455" w:type="dxa"/>
            <w:shd w:val="clear" w:color="auto" w:fill="EDEDED" w:themeFill="accent3" w:themeFillTint="33"/>
          </w:tcPr>
          <w:p w14:paraId="44B44D65" w14:textId="77777777" w:rsidR="007F7440" w:rsidRPr="00311E37" w:rsidRDefault="004C2F9B" w:rsidP="007F7440">
            <w:pPr>
              <w:spacing w:before="60" w:after="60"/>
              <w:rPr>
                <w:color w:val="595959"/>
              </w:rPr>
            </w:pPr>
            <w:r w:rsidRPr="00311E37">
              <w:rPr>
                <w:color w:val="595959"/>
              </w:rPr>
              <w:t>Written guidance must be provided to an employee upon the employee’s</w:t>
            </w:r>
            <w:r w:rsidRPr="00311E37">
              <w:rPr>
                <w:color w:val="595959"/>
              </w:rPr>
              <w:t xml:space="preserve"> notice to the employer of the need for FMLA leave.  The employer must detail the specific expectations and obligations of the employee, and explain the consequences of the failure to meet these obligations. </w:t>
            </w:r>
          </w:p>
          <w:p w14:paraId="5409F049" w14:textId="77777777" w:rsidR="007F7440" w:rsidRPr="00311E37" w:rsidRDefault="004C2F9B" w:rsidP="007F7440">
            <w:pPr>
              <w:spacing w:before="60" w:after="60"/>
              <w:rPr>
                <w:color w:val="595959"/>
              </w:rPr>
            </w:pPr>
            <w:r w:rsidRPr="00311E37">
              <w:rPr>
                <w:color w:val="595959"/>
              </w:rPr>
              <w:t xml:space="preserve">The DOL has issued a </w:t>
            </w:r>
            <w:hyperlink r:id="rId31" w:history="1">
              <w:r w:rsidRPr="00311E37">
                <w:rPr>
                  <w:rStyle w:val="Hyperlink"/>
                </w:rPr>
                <w:t>model notice</w:t>
              </w:r>
            </w:hyperlink>
            <w:r w:rsidRPr="00311E37">
              <w:rPr>
                <w:color w:val="595959"/>
              </w:rPr>
              <w:t xml:space="preserve"> that may be used to satisfy this requirement.</w:t>
            </w:r>
          </w:p>
        </w:tc>
      </w:tr>
      <w:tr w:rsidR="00960533" w14:paraId="4045F7B7" w14:textId="77777777" w:rsidTr="00F474DA">
        <w:trPr>
          <w:jc w:val="center"/>
        </w:trPr>
        <w:tc>
          <w:tcPr>
            <w:tcW w:w="1732" w:type="dxa"/>
            <w:vMerge/>
          </w:tcPr>
          <w:p w14:paraId="5D22C84F" w14:textId="77777777" w:rsidR="007F7440" w:rsidRPr="00311E37" w:rsidRDefault="007F7440" w:rsidP="007F7440">
            <w:pPr>
              <w:spacing w:before="60" w:after="60"/>
              <w:rPr>
                <w:b/>
                <w:color w:val="595959"/>
              </w:rPr>
            </w:pPr>
          </w:p>
        </w:tc>
        <w:tc>
          <w:tcPr>
            <w:tcW w:w="1688" w:type="dxa"/>
            <w:vMerge/>
          </w:tcPr>
          <w:p w14:paraId="1A6B5911"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234496E7" w14:textId="77777777" w:rsidR="007F7440" w:rsidRPr="00311E37" w:rsidRDefault="004C2F9B" w:rsidP="007F7440">
            <w:pPr>
              <w:spacing w:before="60" w:after="60"/>
              <w:rPr>
                <w:color w:val="595959"/>
              </w:rPr>
            </w:pPr>
            <w:r w:rsidRPr="00F474DA">
              <w:rPr>
                <w:b/>
                <w:color w:val="5083C9"/>
              </w:rPr>
              <w:t xml:space="preserve">Designation </w:t>
            </w:r>
            <w:r w:rsidR="00BF11FD">
              <w:rPr>
                <w:b/>
                <w:color w:val="5083C9"/>
              </w:rPr>
              <w:t>n</w:t>
            </w:r>
            <w:r w:rsidRPr="00F474DA">
              <w:rPr>
                <w:b/>
                <w:color w:val="5083C9"/>
              </w:rPr>
              <w:t>otice</w:t>
            </w:r>
            <w:r>
              <w:rPr>
                <w:color w:val="595959"/>
              </w:rPr>
              <w:t>—Employer must notify employee</w:t>
            </w:r>
            <w:r w:rsidRPr="00311E37">
              <w:rPr>
                <w:color w:val="595959"/>
              </w:rPr>
              <w:t xml:space="preserve"> of whether leave has been designated as FMLA leave.</w:t>
            </w:r>
          </w:p>
        </w:tc>
        <w:tc>
          <w:tcPr>
            <w:tcW w:w="4455" w:type="dxa"/>
            <w:shd w:val="clear" w:color="auto" w:fill="EDEDED" w:themeFill="accent3" w:themeFillTint="33"/>
          </w:tcPr>
          <w:p w14:paraId="195DD876" w14:textId="77777777" w:rsidR="007F7440" w:rsidRPr="00311E37" w:rsidRDefault="004C2F9B" w:rsidP="007F7440">
            <w:pPr>
              <w:spacing w:before="60" w:after="60"/>
              <w:rPr>
                <w:color w:val="595959"/>
              </w:rPr>
            </w:pPr>
            <w:r w:rsidRPr="00311E37">
              <w:rPr>
                <w:color w:val="595959"/>
              </w:rPr>
              <w:t xml:space="preserve">Within five days of receiving sufficient information to grant or deny FMLA leave, </w:t>
            </w:r>
            <w:r w:rsidR="00F474DA">
              <w:rPr>
                <w:color w:val="595959"/>
              </w:rPr>
              <w:t>the employer</w:t>
            </w:r>
            <w:r w:rsidRPr="00311E37">
              <w:rPr>
                <w:color w:val="595959"/>
              </w:rPr>
              <w:t xml:space="preserve"> must provide a designation notice informing the employee whether the leave is designated as FMLA leave. The DOL has issued a </w:t>
            </w:r>
            <w:hyperlink r:id="rId32" w:history="1">
              <w:r w:rsidRPr="00311E37">
                <w:rPr>
                  <w:rStyle w:val="Hyperlink"/>
                </w:rPr>
                <w:t>model notice</w:t>
              </w:r>
            </w:hyperlink>
            <w:r w:rsidRPr="00311E37">
              <w:rPr>
                <w:color w:val="595959"/>
              </w:rPr>
              <w:t xml:space="preserve"> that may be used to satisfy this requirement.</w:t>
            </w:r>
          </w:p>
        </w:tc>
      </w:tr>
      <w:tr w:rsidR="00960533" w14:paraId="3B8B1763" w14:textId="77777777" w:rsidTr="00F474DA">
        <w:trPr>
          <w:jc w:val="center"/>
        </w:trPr>
        <w:tc>
          <w:tcPr>
            <w:tcW w:w="1732" w:type="dxa"/>
            <w:shd w:val="clear" w:color="auto" w:fill="EDEDED" w:themeFill="accent3" w:themeFillTint="33"/>
            <w:vAlign w:val="center"/>
          </w:tcPr>
          <w:p w14:paraId="573D00F2" w14:textId="77777777" w:rsidR="007F7440" w:rsidRPr="00311E37" w:rsidRDefault="004C2F9B" w:rsidP="007F7440">
            <w:pPr>
              <w:spacing w:before="60" w:after="60"/>
              <w:jc w:val="center"/>
              <w:rPr>
                <w:b/>
                <w:color w:val="32607A"/>
              </w:rPr>
            </w:pPr>
            <w:r w:rsidRPr="00F474DA">
              <w:rPr>
                <w:b/>
                <w:color w:val="5083C9"/>
              </w:rPr>
              <w:lastRenderedPageBreak/>
              <w:t>Federal fair employment laws</w:t>
            </w:r>
          </w:p>
        </w:tc>
        <w:tc>
          <w:tcPr>
            <w:tcW w:w="1688" w:type="dxa"/>
            <w:shd w:val="clear" w:color="auto" w:fill="EDEDED" w:themeFill="accent3" w:themeFillTint="33"/>
            <w:vAlign w:val="center"/>
          </w:tcPr>
          <w:p w14:paraId="5A5A191B" w14:textId="77777777" w:rsidR="007F7440" w:rsidRPr="00311E37" w:rsidRDefault="004C2F9B" w:rsidP="007F7440">
            <w:pPr>
              <w:spacing w:before="60" w:after="60"/>
              <w:jc w:val="center"/>
              <w:rPr>
                <w:color w:val="595959"/>
              </w:rPr>
            </w:pPr>
            <w:r>
              <w:rPr>
                <w:color w:val="595959"/>
              </w:rPr>
              <w:t xml:space="preserve">Employers with 15 or more employees that are subject to federal fair employment laws </w:t>
            </w:r>
          </w:p>
        </w:tc>
        <w:tc>
          <w:tcPr>
            <w:tcW w:w="2835" w:type="dxa"/>
            <w:shd w:val="clear" w:color="auto" w:fill="EDEDED" w:themeFill="accent3" w:themeFillTint="33"/>
          </w:tcPr>
          <w:p w14:paraId="4D820ECE" w14:textId="77777777" w:rsidR="007F7440" w:rsidRPr="00311E37" w:rsidRDefault="004C2F9B" w:rsidP="007F7440">
            <w:pPr>
              <w:spacing w:before="60" w:after="60"/>
              <w:rPr>
                <w:b/>
                <w:color w:val="BE5A1C"/>
              </w:rPr>
            </w:pPr>
            <w:r w:rsidRPr="00F474DA">
              <w:rPr>
                <w:b/>
                <w:color w:val="5083C9"/>
              </w:rPr>
              <w:t xml:space="preserve">“Equal Employment Opportunity is the Law” </w:t>
            </w:r>
            <w:r w:rsidR="00BF11FD">
              <w:rPr>
                <w:b/>
                <w:color w:val="5083C9"/>
              </w:rPr>
              <w:t>p</w:t>
            </w:r>
            <w:r w:rsidRPr="00F474DA">
              <w:rPr>
                <w:b/>
                <w:color w:val="5083C9"/>
              </w:rPr>
              <w:t>oster</w:t>
            </w:r>
            <w:r w:rsidRPr="00DA5B1C">
              <w:rPr>
                <w:color w:val="595959"/>
              </w:rPr>
              <w:t>—Employers must post a notice describing federal laws prohibiting job discrimination based on race, color, sex, national o</w:t>
            </w:r>
            <w:r w:rsidRPr="00DA5B1C">
              <w:rPr>
                <w:color w:val="595959"/>
              </w:rPr>
              <w:t xml:space="preserve">rigin, religion, age, equal pay, disability or genetic information. </w:t>
            </w:r>
          </w:p>
        </w:tc>
        <w:tc>
          <w:tcPr>
            <w:tcW w:w="4455" w:type="dxa"/>
            <w:shd w:val="clear" w:color="auto" w:fill="EDEDED" w:themeFill="accent3" w:themeFillTint="33"/>
          </w:tcPr>
          <w:p w14:paraId="117EC131" w14:textId="77777777" w:rsidR="007F7440" w:rsidRDefault="004C2F9B" w:rsidP="007F7440">
            <w:pPr>
              <w:spacing w:before="60" w:after="60"/>
              <w:rPr>
                <w:color w:val="595959"/>
              </w:rPr>
            </w:pPr>
            <w:r w:rsidRPr="00345178">
              <w:rPr>
                <w:color w:val="595959"/>
              </w:rPr>
              <w:t>The notice must be posted prominently, where it can be readily seen by employees and applicants for employment. The notice provides information concerning the laws and procedures for fili</w:t>
            </w:r>
            <w:r w:rsidRPr="00345178">
              <w:rPr>
                <w:color w:val="595959"/>
              </w:rPr>
              <w:t>ng comp</w:t>
            </w:r>
            <w:r>
              <w:rPr>
                <w:color w:val="595959"/>
              </w:rPr>
              <w:t xml:space="preserve">laints of violations of the laws. </w:t>
            </w:r>
            <w:r w:rsidRPr="00244584">
              <w:rPr>
                <w:color w:val="595959"/>
              </w:rPr>
              <w:t>In addition to physically posting the notice, the EEOC encourages employers also to post similar electronic notices on their internal websites in a conspicuous location.</w:t>
            </w:r>
          </w:p>
          <w:p w14:paraId="46C62BCC" w14:textId="77777777" w:rsidR="007F7440" w:rsidRPr="00311E37" w:rsidRDefault="004C2F9B" w:rsidP="007F7440">
            <w:pPr>
              <w:spacing w:before="60" w:after="60"/>
              <w:rPr>
                <w:color w:val="595959"/>
              </w:rPr>
            </w:pPr>
            <w:r>
              <w:rPr>
                <w:color w:val="595959"/>
              </w:rPr>
              <w:t xml:space="preserve">The poster is available on the EEOC’s </w:t>
            </w:r>
            <w:hyperlink r:id="rId33" w:history="1">
              <w:r w:rsidRPr="00655733">
                <w:rPr>
                  <w:rStyle w:val="Hyperlink"/>
                </w:rPr>
                <w:t>website</w:t>
              </w:r>
            </w:hyperlink>
            <w:r>
              <w:rPr>
                <w:color w:val="595959"/>
              </w:rPr>
              <w:t xml:space="preserve">.  </w:t>
            </w:r>
          </w:p>
        </w:tc>
      </w:tr>
      <w:tr w:rsidR="00960533" w14:paraId="3971B1B0" w14:textId="77777777" w:rsidTr="00F474DA">
        <w:trPr>
          <w:jc w:val="center"/>
        </w:trPr>
        <w:tc>
          <w:tcPr>
            <w:tcW w:w="1732" w:type="dxa"/>
            <w:shd w:val="clear" w:color="auto" w:fill="EDEDED" w:themeFill="accent3" w:themeFillTint="33"/>
            <w:vAlign w:val="center"/>
          </w:tcPr>
          <w:p w14:paraId="620D087B" w14:textId="77777777" w:rsidR="007F7440" w:rsidRPr="00311E37" w:rsidRDefault="004C2F9B" w:rsidP="007F7440">
            <w:pPr>
              <w:spacing w:before="60" w:after="60"/>
              <w:jc w:val="center"/>
              <w:rPr>
                <w:b/>
                <w:color w:val="32607A"/>
              </w:rPr>
            </w:pPr>
            <w:r w:rsidRPr="00F474DA">
              <w:rPr>
                <w:b/>
                <w:color w:val="5083C9"/>
              </w:rPr>
              <w:t>Genetic Information Non-</w:t>
            </w:r>
            <w:r w:rsidR="00BF11FD">
              <w:rPr>
                <w:b/>
                <w:color w:val="5083C9"/>
              </w:rPr>
              <w:t>d</w:t>
            </w:r>
            <w:r w:rsidRPr="00F474DA">
              <w:rPr>
                <w:b/>
                <w:color w:val="5083C9"/>
              </w:rPr>
              <w:t>iscrimination Act (GINA)</w:t>
            </w:r>
          </w:p>
        </w:tc>
        <w:tc>
          <w:tcPr>
            <w:tcW w:w="1688" w:type="dxa"/>
            <w:shd w:val="clear" w:color="auto" w:fill="EDEDED" w:themeFill="accent3" w:themeFillTint="33"/>
            <w:vAlign w:val="center"/>
          </w:tcPr>
          <w:p w14:paraId="290B3685" w14:textId="77777777" w:rsidR="007F7440" w:rsidRPr="00311E37" w:rsidRDefault="004C2F9B" w:rsidP="007F7440">
            <w:pPr>
              <w:spacing w:before="60" w:after="60"/>
              <w:jc w:val="center"/>
              <w:rPr>
                <w:color w:val="595959"/>
              </w:rPr>
            </w:pPr>
            <w:r w:rsidRPr="00311E37">
              <w:rPr>
                <w:color w:val="595959"/>
              </w:rPr>
              <w:t>Group health plans and health insurance issuers</w:t>
            </w:r>
          </w:p>
        </w:tc>
        <w:tc>
          <w:tcPr>
            <w:tcW w:w="2835" w:type="dxa"/>
            <w:shd w:val="clear" w:color="auto" w:fill="EDEDED" w:themeFill="accent3" w:themeFillTint="33"/>
          </w:tcPr>
          <w:p w14:paraId="2E374C02" w14:textId="77777777" w:rsidR="007F7440" w:rsidRPr="00311E37" w:rsidRDefault="004C2F9B" w:rsidP="007F7440">
            <w:pPr>
              <w:spacing w:before="60" w:after="60"/>
              <w:rPr>
                <w:color w:val="595959"/>
              </w:rPr>
            </w:pPr>
            <w:r w:rsidRPr="00F474DA">
              <w:rPr>
                <w:b/>
                <w:color w:val="5083C9"/>
              </w:rPr>
              <w:t xml:space="preserve">Notice of </w:t>
            </w:r>
            <w:r w:rsidR="00BF11FD" w:rsidRPr="00F474DA">
              <w:rPr>
                <w:b/>
                <w:color w:val="5083C9"/>
              </w:rPr>
              <w:t>research exception</w:t>
            </w:r>
            <w:r w:rsidRPr="00311E37">
              <w:rPr>
                <w:color w:val="595959"/>
              </w:rPr>
              <w:t xml:space="preserve">—To satisfy the research exception, plans or issuers must </w:t>
            </w:r>
            <w:r w:rsidRPr="00311E37">
              <w:rPr>
                <w:color w:val="595959"/>
              </w:rPr>
              <w:t>provide participants with a written request and must file a Notice of Research Exception with the designated federal agency.</w:t>
            </w:r>
          </w:p>
        </w:tc>
        <w:tc>
          <w:tcPr>
            <w:tcW w:w="4455" w:type="dxa"/>
            <w:shd w:val="clear" w:color="auto" w:fill="EDEDED" w:themeFill="accent3" w:themeFillTint="33"/>
          </w:tcPr>
          <w:p w14:paraId="1A6BAB57" w14:textId="77777777" w:rsidR="007F7440" w:rsidRPr="00311E37" w:rsidRDefault="004C2F9B" w:rsidP="007F7440">
            <w:pPr>
              <w:spacing w:before="60" w:after="60"/>
              <w:rPr>
                <w:color w:val="595959"/>
              </w:rPr>
            </w:pPr>
            <w:r w:rsidRPr="00311E37">
              <w:rPr>
                <w:color w:val="595959"/>
              </w:rPr>
              <w:t>Title I of GINA prohibits health plans and health insurance issuers from requiring or requesting that an individual undergo a genet</w:t>
            </w:r>
            <w:r w:rsidRPr="00311E37">
              <w:rPr>
                <w:color w:val="595959"/>
              </w:rPr>
              <w:t>ic test, subject to some narrow exceptions. The research exception allows a health plan or issuer to request (but not require) that an individual undergo a genetic test if the information is not used for underwriting and some additional requirements are me</w:t>
            </w:r>
            <w:r w:rsidRPr="00311E37">
              <w:rPr>
                <w:color w:val="595959"/>
              </w:rPr>
              <w:t>t. The plan or issuer must:</w:t>
            </w:r>
          </w:p>
          <w:p w14:paraId="2F98EE71" w14:textId="77777777" w:rsidR="007F7440" w:rsidRPr="00311E37" w:rsidRDefault="004C2F9B" w:rsidP="007F7440">
            <w:pPr>
              <w:numPr>
                <w:ilvl w:val="0"/>
                <w:numId w:val="16"/>
              </w:numPr>
              <w:spacing w:before="60" w:after="60"/>
              <w:ind w:left="230" w:hanging="180"/>
              <w:rPr>
                <w:color w:val="595959"/>
              </w:rPr>
            </w:pPr>
            <w:r w:rsidRPr="00311E37">
              <w:rPr>
                <w:color w:val="595959"/>
              </w:rPr>
              <w:t>Make the request in writing to the participant;</w:t>
            </w:r>
          </w:p>
          <w:p w14:paraId="1900239E" w14:textId="77777777" w:rsidR="007F7440" w:rsidRDefault="004C2F9B" w:rsidP="007F7440">
            <w:pPr>
              <w:numPr>
                <w:ilvl w:val="0"/>
                <w:numId w:val="16"/>
              </w:numPr>
              <w:spacing w:before="60" w:after="60"/>
              <w:ind w:left="230" w:hanging="180"/>
              <w:rPr>
                <w:color w:val="595959"/>
              </w:rPr>
            </w:pPr>
            <w:r w:rsidRPr="00311E37">
              <w:rPr>
                <w:color w:val="595959"/>
              </w:rPr>
              <w:t>Clearly indicate that the test is voluntary and will not impact plan eligibility or contributions; and</w:t>
            </w:r>
          </w:p>
          <w:p w14:paraId="35633193" w14:textId="77777777" w:rsidR="007F7440" w:rsidRPr="00F132A3" w:rsidRDefault="004C2F9B" w:rsidP="007F7440">
            <w:pPr>
              <w:numPr>
                <w:ilvl w:val="0"/>
                <w:numId w:val="16"/>
              </w:numPr>
              <w:spacing w:before="60" w:after="60"/>
              <w:ind w:left="230" w:hanging="180"/>
              <w:rPr>
                <w:color w:val="595959"/>
              </w:rPr>
            </w:pPr>
            <w:r w:rsidRPr="00F132A3">
              <w:rPr>
                <w:color w:val="595959"/>
              </w:rPr>
              <w:t xml:space="preserve">Complete a </w:t>
            </w:r>
            <w:hyperlink r:id="rId34" w:history="1">
              <w:r>
                <w:rPr>
                  <w:rStyle w:val="Hyperlink"/>
                </w:rPr>
                <w:t>Notice of Research Exception</w:t>
              </w:r>
            </w:hyperlink>
            <w:r w:rsidRPr="00F132A3">
              <w:rPr>
                <w:color w:val="595959"/>
              </w:rPr>
              <w:t>.</w:t>
            </w:r>
          </w:p>
        </w:tc>
      </w:tr>
      <w:tr w:rsidR="00960533" w14:paraId="3613D21A" w14:textId="77777777" w:rsidTr="00F474DA">
        <w:trPr>
          <w:jc w:val="center"/>
        </w:trPr>
        <w:tc>
          <w:tcPr>
            <w:tcW w:w="1732" w:type="dxa"/>
            <w:vMerge w:val="restart"/>
            <w:shd w:val="clear" w:color="auto" w:fill="EDEDED" w:themeFill="accent3" w:themeFillTint="33"/>
            <w:vAlign w:val="center"/>
          </w:tcPr>
          <w:p w14:paraId="59BA8C3F" w14:textId="77777777" w:rsidR="007F7440" w:rsidRPr="00311E37" w:rsidRDefault="004C2F9B" w:rsidP="007F7440">
            <w:pPr>
              <w:spacing w:before="60" w:after="60"/>
              <w:jc w:val="center"/>
              <w:rPr>
                <w:b/>
                <w:color w:val="595959"/>
              </w:rPr>
            </w:pPr>
            <w:r w:rsidRPr="00F474DA">
              <w:rPr>
                <w:b/>
                <w:color w:val="5083C9"/>
              </w:rPr>
              <w:t>Genetic Information Non- discrimination Act (GINA)</w:t>
            </w:r>
          </w:p>
        </w:tc>
        <w:tc>
          <w:tcPr>
            <w:tcW w:w="1688" w:type="dxa"/>
            <w:vMerge w:val="restart"/>
            <w:shd w:val="clear" w:color="auto" w:fill="EDEDED" w:themeFill="accent3" w:themeFillTint="33"/>
            <w:vAlign w:val="center"/>
          </w:tcPr>
          <w:p w14:paraId="64A32886" w14:textId="77777777" w:rsidR="007F7440" w:rsidRPr="00311E37" w:rsidRDefault="004C2F9B" w:rsidP="007F7440">
            <w:pPr>
              <w:spacing w:before="60" w:after="60"/>
              <w:jc w:val="center"/>
              <w:rPr>
                <w:color w:val="595959"/>
              </w:rPr>
            </w:pPr>
            <w:r w:rsidRPr="00311E37">
              <w:rPr>
                <w:color w:val="595959"/>
              </w:rPr>
              <w:t xml:space="preserve">Employers in the private sector and state and local governments that </w:t>
            </w:r>
            <w:r w:rsidRPr="00311E37">
              <w:rPr>
                <w:color w:val="595959"/>
              </w:rPr>
              <w:t>employ 15 or more employees</w:t>
            </w:r>
            <w:r>
              <w:rPr>
                <w:color w:val="595959"/>
              </w:rPr>
              <w:t xml:space="preserve"> </w:t>
            </w:r>
          </w:p>
        </w:tc>
        <w:tc>
          <w:tcPr>
            <w:tcW w:w="2835" w:type="dxa"/>
            <w:shd w:val="clear" w:color="auto" w:fill="EDEDED" w:themeFill="accent3" w:themeFillTint="33"/>
          </w:tcPr>
          <w:p w14:paraId="62567C23" w14:textId="77777777" w:rsidR="007F7440" w:rsidRPr="00311E37" w:rsidRDefault="004C2F9B" w:rsidP="007F7440">
            <w:pPr>
              <w:spacing w:before="60" w:after="60"/>
              <w:rPr>
                <w:color w:val="595959"/>
              </w:rPr>
            </w:pPr>
            <w:r w:rsidRPr="00F474DA">
              <w:rPr>
                <w:b/>
                <w:color w:val="5083C9"/>
              </w:rPr>
              <w:t xml:space="preserve">Request for </w:t>
            </w:r>
            <w:r w:rsidR="00BF11FD" w:rsidRPr="00F474DA">
              <w:rPr>
                <w:b/>
                <w:color w:val="5083C9"/>
              </w:rPr>
              <w:t>medical information</w:t>
            </w:r>
            <w:r w:rsidRPr="00311E37">
              <w:rPr>
                <w:color w:val="595959"/>
              </w:rPr>
              <w:t>—Notice is not generally required; however, model language can be used by an employer lawfully requesting medical information so that any genetic information included with the response will be dee</w:t>
            </w:r>
            <w:r w:rsidRPr="00311E37">
              <w:rPr>
                <w:color w:val="595959"/>
              </w:rPr>
              <w:t>med inadvertent.</w:t>
            </w:r>
          </w:p>
        </w:tc>
        <w:tc>
          <w:tcPr>
            <w:tcW w:w="4455" w:type="dxa"/>
            <w:shd w:val="clear" w:color="auto" w:fill="EDEDED" w:themeFill="accent3" w:themeFillTint="33"/>
          </w:tcPr>
          <w:p w14:paraId="2AE5344A" w14:textId="77777777" w:rsidR="007F7440" w:rsidRPr="00311E37" w:rsidRDefault="004C2F9B" w:rsidP="007F7440">
            <w:pPr>
              <w:spacing w:before="60" w:after="60"/>
              <w:rPr>
                <w:color w:val="595959"/>
              </w:rPr>
            </w:pPr>
            <w:r w:rsidRPr="00311E37">
              <w:rPr>
                <w:color w:val="595959"/>
              </w:rPr>
              <w:t xml:space="preserve">Any receipt of genetic information in response to the request for medical information will be deemed inadvertent if the employer’s request includes the model (or similar) language. The model language can be found at </w:t>
            </w:r>
            <w:hyperlink r:id="rId35" w:history="1">
              <w:r w:rsidRPr="00311E37">
                <w:rPr>
                  <w:rStyle w:val="Hyperlink"/>
                </w:rPr>
                <w:t>EEOC Reg. § 1635.8(b)(1)(</w:t>
              </w:r>
              <w:proofErr w:type="spellStart"/>
              <w:r w:rsidRPr="00311E37">
                <w:rPr>
                  <w:rStyle w:val="Hyperlink"/>
                </w:rPr>
                <w:t>i</w:t>
              </w:r>
              <w:proofErr w:type="spellEnd"/>
              <w:r w:rsidRPr="00311E37">
                <w:rPr>
                  <w:rStyle w:val="Hyperlink"/>
                </w:rPr>
                <w:t>)(B)</w:t>
              </w:r>
            </w:hyperlink>
          </w:p>
        </w:tc>
      </w:tr>
      <w:tr w:rsidR="00960533" w14:paraId="329D39D9" w14:textId="77777777" w:rsidTr="00F474DA">
        <w:trPr>
          <w:jc w:val="center"/>
        </w:trPr>
        <w:tc>
          <w:tcPr>
            <w:tcW w:w="1732" w:type="dxa"/>
            <w:vMerge/>
          </w:tcPr>
          <w:p w14:paraId="316FF368" w14:textId="77777777" w:rsidR="007F7440" w:rsidRPr="00311E37" w:rsidRDefault="007F7440" w:rsidP="007F7440">
            <w:pPr>
              <w:spacing w:before="60" w:after="60"/>
              <w:rPr>
                <w:b/>
                <w:color w:val="595959"/>
              </w:rPr>
            </w:pPr>
          </w:p>
        </w:tc>
        <w:tc>
          <w:tcPr>
            <w:tcW w:w="1688" w:type="dxa"/>
            <w:vMerge/>
          </w:tcPr>
          <w:p w14:paraId="2ED9ACF5"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6FCCF41D" w14:textId="77777777" w:rsidR="007F7440" w:rsidRPr="00311E37" w:rsidRDefault="004C2F9B" w:rsidP="007F7440">
            <w:pPr>
              <w:spacing w:before="60" w:after="60"/>
              <w:rPr>
                <w:color w:val="595959"/>
              </w:rPr>
            </w:pPr>
            <w:r w:rsidRPr="00F474DA">
              <w:rPr>
                <w:b/>
                <w:color w:val="5083C9"/>
              </w:rPr>
              <w:t xml:space="preserve">Request for </w:t>
            </w:r>
            <w:r w:rsidR="00BF11FD" w:rsidRPr="00F474DA">
              <w:rPr>
                <w:b/>
                <w:color w:val="5083C9"/>
              </w:rPr>
              <w:t>genetic information for toxic substance monitoring</w:t>
            </w:r>
            <w:r w:rsidRPr="00311E37">
              <w:rPr>
                <w:color w:val="595959"/>
              </w:rPr>
              <w:t xml:space="preserve">—Written notice required if genetic information is acquired for toxic substance monitoring. </w:t>
            </w:r>
          </w:p>
        </w:tc>
        <w:tc>
          <w:tcPr>
            <w:tcW w:w="4455" w:type="dxa"/>
            <w:shd w:val="clear" w:color="auto" w:fill="EDEDED" w:themeFill="accent3" w:themeFillTint="33"/>
          </w:tcPr>
          <w:p w14:paraId="24BDF6D2" w14:textId="77777777" w:rsidR="007F7440" w:rsidRPr="00311E37" w:rsidRDefault="004C2F9B" w:rsidP="007F7440">
            <w:pPr>
              <w:spacing w:before="60" w:after="60"/>
              <w:rPr>
                <w:color w:val="595959"/>
              </w:rPr>
            </w:pPr>
            <w:r w:rsidRPr="00311E37">
              <w:rPr>
                <w:color w:val="595959"/>
              </w:rPr>
              <w:t>Employers that want to obta</w:t>
            </w:r>
            <w:r w:rsidRPr="00311E37">
              <w:rPr>
                <w:color w:val="595959"/>
              </w:rPr>
              <w:t>in genetic information of employees in order to monitor the biological effects of exposure to toxic substances in the workplace must provide each affected employee with:</w:t>
            </w:r>
          </w:p>
          <w:p w14:paraId="26B29A8D" w14:textId="77777777" w:rsidR="007F7440" w:rsidRPr="00311E37" w:rsidRDefault="004C2F9B" w:rsidP="007F7440">
            <w:pPr>
              <w:numPr>
                <w:ilvl w:val="0"/>
                <w:numId w:val="17"/>
              </w:numPr>
              <w:spacing w:before="60" w:after="60"/>
              <w:ind w:left="230" w:hanging="230"/>
              <w:rPr>
                <w:color w:val="595959"/>
              </w:rPr>
            </w:pPr>
            <w:r w:rsidRPr="00311E37">
              <w:rPr>
                <w:color w:val="595959"/>
              </w:rPr>
              <w:t>Written notice of the genetic monitoring; and</w:t>
            </w:r>
          </w:p>
          <w:p w14:paraId="2CDFD8E8" w14:textId="77777777" w:rsidR="007F7440" w:rsidRPr="00311E37" w:rsidRDefault="004C2F9B" w:rsidP="007F7440">
            <w:pPr>
              <w:numPr>
                <w:ilvl w:val="0"/>
                <w:numId w:val="17"/>
              </w:numPr>
              <w:spacing w:before="60" w:after="60"/>
              <w:ind w:left="230" w:hanging="230"/>
              <w:rPr>
                <w:color w:val="595959"/>
              </w:rPr>
            </w:pPr>
            <w:r w:rsidRPr="00311E37">
              <w:rPr>
                <w:color w:val="595959"/>
              </w:rPr>
              <w:t xml:space="preserve">The individual monitoring </w:t>
            </w:r>
            <w:r w:rsidRPr="00311E37">
              <w:rPr>
                <w:color w:val="595959"/>
              </w:rPr>
              <w:t>results.</w:t>
            </w:r>
          </w:p>
          <w:p w14:paraId="22911346" w14:textId="77777777" w:rsidR="007F7440" w:rsidRPr="00311E37" w:rsidRDefault="004C2F9B" w:rsidP="007F7440">
            <w:pPr>
              <w:spacing w:before="60" w:after="60"/>
              <w:rPr>
                <w:color w:val="595959"/>
              </w:rPr>
            </w:pPr>
            <w:r w:rsidRPr="00311E37">
              <w:rPr>
                <w:color w:val="595959"/>
              </w:rPr>
              <w:t xml:space="preserve">The employee must authorize the monitoring, unless it is required by law. </w:t>
            </w:r>
          </w:p>
        </w:tc>
      </w:tr>
      <w:tr w:rsidR="00960533" w14:paraId="5AFDDB67" w14:textId="77777777" w:rsidTr="00F474DA">
        <w:trPr>
          <w:jc w:val="center"/>
        </w:trPr>
        <w:tc>
          <w:tcPr>
            <w:tcW w:w="1732" w:type="dxa"/>
            <w:vMerge/>
          </w:tcPr>
          <w:p w14:paraId="54C1165E" w14:textId="77777777" w:rsidR="007F7440" w:rsidRPr="00311E37" w:rsidRDefault="007F7440" w:rsidP="007F7440">
            <w:pPr>
              <w:spacing w:before="60" w:after="60"/>
              <w:rPr>
                <w:b/>
                <w:color w:val="595959"/>
              </w:rPr>
            </w:pPr>
          </w:p>
        </w:tc>
        <w:tc>
          <w:tcPr>
            <w:tcW w:w="1688" w:type="dxa"/>
            <w:vMerge/>
          </w:tcPr>
          <w:p w14:paraId="0E83FA81"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782DDEFB" w14:textId="77777777" w:rsidR="007F7440" w:rsidRPr="00311E37" w:rsidRDefault="004C2F9B" w:rsidP="007F7440">
            <w:pPr>
              <w:spacing w:before="60" w:after="60"/>
              <w:rPr>
                <w:color w:val="595959"/>
              </w:rPr>
            </w:pPr>
            <w:r w:rsidRPr="00F474DA">
              <w:rPr>
                <w:b/>
                <w:color w:val="5083C9"/>
              </w:rPr>
              <w:t xml:space="preserve">Notice of </w:t>
            </w:r>
            <w:r w:rsidR="00BF11FD">
              <w:rPr>
                <w:b/>
                <w:color w:val="5083C9"/>
              </w:rPr>
              <w:t>d</w:t>
            </w:r>
            <w:r w:rsidRPr="00F474DA">
              <w:rPr>
                <w:b/>
                <w:color w:val="5083C9"/>
              </w:rPr>
              <w:t>isclosure</w:t>
            </w:r>
            <w:r w:rsidRPr="00311E37">
              <w:rPr>
                <w:b/>
                <w:color w:val="595959"/>
              </w:rPr>
              <w:t>—</w:t>
            </w:r>
            <w:r w:rsidRPr="00311E37">
              <w:rPr>
                <w:color w:val="595959"/>
              </w:rPr>
              <w:t>Notice is required for certain permitted disclosures of genetic information.</w:t>
            </w:r>
          </w:p>
        </w:tc>
        <w:tc>
          <w:tcPr>
            <w:tcW w:w="4455" w:type="dxa"/>
            <w:shd w:val="clear" w:color="auto" w:fill="EDEDED" w:themeFill="accent3" w:themeFillTint="33"/>
          </w:tcPr>
          <w:p w14:paraId="12D04543" w14:textId="77777777" w:rsidR="007F7440" w:rsidRPr="00311E37" w:rsidRDefault="004C2F9B" w:rsidP="007F7440">
            <w:pPr>
              <w:spacing w:before="60" w:after="60"/>
              <w:rPr>
                <w:color w:val="595959"/>
              </w:rPr>
            </w:pPr>
            <w:r w:rsidRPr="00311E37">
              <w:rPr>
                <w:color w:val="595959"/>
              </w:rPr>
              <w:t>Employers generally may not disclose an employee’s genetic information. Certain exceptions apply to this rule, including disclosure of genetic information in response to a court order or to public health agencies regarding contagious, life-threatening illn</w:t>
            </w:r>
            <w:r w:rsidRPr="00311E37">
              <w:rPr>
                <w:color w:val="595959"/>
              </w:rPr>
              <w:t xml:space="preserve">ess. Notice to the employee is required if the employer discloses genetic information for these purposes.  </w:t>
            </w:r>
          </w:p>
        </w:tc>
      </w:tr>
      <w:tr w:rsidR="00960533" w14:paraId="244F9353" w14:textId="77777777" w:rsidTr="00F474DA">
        <w:trPr>
          <w:jc w:val="center"/>
        </w:trPr>
        <w:tc>
          <w:tcPr>
            <w:tcW w:w="1732" w:type="dxa"/>
            <w:shd w:val="clear" w:color="auto" w:fill="EDEDED" w:themeFill="accent3" w:themeFillTint="33"/>
            <w:vAlign w:val="center"/>
          </w:tcPr>
          <w:p w14:paraId="57D6E3DF" w14:textId="77777777" w:rsidR="007F7440" w:rsidRPr="00311E37" w:rsidRDefault="004C2F9B" w:rsidP="007F7440">
            <w:pPr>
              <w:spacing w:before="60" w:after="60"/>
              <w:jc w:val="center"/>
              <w:rPr>
                <w:b/>
                <w:color w:val="32607A"/>
              </w:rPr>
            </w:pPr>
            <w:r w:rsidRPr="00F474DA">
              <w:rPr>
                <w:b/>
                <w:color w:val="5083C9"/>
              </w:rPr>
              <w:t>HIPAA and the ACA—Wellness  Programs</w:t>
            </w:r>
          </w:p>
        </w:tc>
        <w:tc>
          <w:tcPr>
            <w:tcW w:w="1688" w:type="dxa"/>
            <w:shd w:val="clear" w:color="auto" w:fill="EDEDED" w:themeFill="accent3" w:themeFillTint="33"/>
            <w:vAlign w:val="center"/>
          </w:tcPr>
          <w:p w14:paraId="69F0B99A" w14:textId="77777777" w:rsidR="007F7440" w:rsidRPr="00311E37" w:rsidRDefault="004C2F9B" w:rsidP="007F7440">
            <w:pPr>
              <w:spacing w:before="60" w:after="60"/>
              <w:jc w:val="center"/>
              <w:rPr>
                <w:color w:val="595959"/>
              </w:rPr>
            </w:pPr>
            <w:r w:rsidRPr="00311E37">
              <w:rPr>
                <w:color w:val="595959"/>
              </w:rPr>
              <w:t>Group health plans and issuers that offer health-contingent wellness programs</w:t>
            </w:r>
          </w:p>
        </w:tc>
        <w:tc>
          <w:tcPr>
            <w:tcW w:w="2835" w:type="dxa"/>
            <w:shd w:val="clear" w:color="auto" w:fill="EDEDED" w:themeFill="accent3" w:themeFillTint="33"/>
          </w:tcPr>
          <w:p w14:paraId="530D2FBF" w14:textId="77777777" w:rsidR="007F7440" w:rsidRPr="00311E37" w:rsidRDefault="004C2F9B" w:rsidP="007F7440">
            <w:pPr>
              <w:spacing w:before="60" w:after="60"/>
              <w:rPr>
                <w:color w:val="595959"/>
              </w:rPr>
            </w:pPr>
            <w:r w:rsidRPr="00F474DA">
              <w:rPr>
                <w:b/>
                <w:color w:val="5083C9"/>
              </w:rPr>
              <w:t xml:space="preserve">Notice of </w:t>
            </w:r>
            <w:r w:rsidR="00BF11FD" w:rsidRPr="00F474DA">
              <w:rPr>
                <w:b/>
                <w:color w:val="5083C9"/>
              </w:rPr>
              <w:t>alternative standard</w:t>
            </w:r>
            <w:r w:rsidRPr="00311E37">
              <w:rPr>
                <w:b/>
                <w:color w:val="595959"/>
              </w:rPr>
              <w:t>—</w:t>
            </w:r>
            <w:r w:rsidRPr="00311E37">
              <w:rPr>
                <w:color w:val="595959"/>
              </w:rPr>
              <w:t xml:space="preserve">Plans and issuers must disclose the availability of an alternative standard in all materials describing the wellness program.  </w:t>
            </w:r>
          </w:p>
        </w:tc>
        <w:tc>
          <w:tcPr>
            <w:tcW w:w="4455" w:type="dxa"/>
            <w:shd w:val="clear" w:color="auto" w:fill="EDEDED" w:themeFill="accent3" w:themeFillTint="33"/>
          </w:tcPr>
          <w:p w14:paraId="3BED9452" w14:textId="77777777" w:rsidR="007F7440" w:rsidRPr="00311E37" w:rsidRDefault="004C2F9B" w:rsidP="007F7440">
            <w:pPr>
              <w:spacing w:before="60" w:after="60"/>
              <w:rPr>
                <w:color w:val="595959"/>
              </w:rPr>
            </w:pPr>
            <w:r w:rsidRPr="00311E37">
              <w:rPr>
                <w:color w:val="595959"/>
              </w:rPr>
              <w:t>Health-contingent wellness programs, or wellness programs that require individuals to satisfy a standard related to a h</w:t>
            </w:r>
            <w:r w:rsidRPr="00311E37">
              <w:rPr>
                <w:color w:val="595959"/>
              </w:rPr>
              <w:t>ealth factor in order to receive a reward, violate federal nondiscrimination rules unless the program satisfies a number of conditions:</w:t>
            </w:r>
          </w:p>
          <w:p w14:paraId="245FD0C7" w14:textId="77777777" w:rsidR="007F7440" w:rsidRDefault="004C2F9B" w:rsidP="007F7440">
            <w:pPr>
              <w:pStyle w:val="Bullets"/>
              <w:spacing w:before="60" w:after="60" w:line="240" w:lineRule="auto"/>
              <w:ind w:left="320" w:hanging="270"/>
              <w:jc w:val="left"/>
            </w:pPr>
            <w:r w:rsidRPr="00A41984">
              <w:t>Limit reward to 30 percent of cost of coverage (or 50 percent for health-contingent wellness programs designed to preven</w:t>
            </w:r>
            <w:r w:rsidRPr="00A41984">
              <w:t>t or redu</w:t>
            </w:r>
            <w:r>
              <w:t>ce tobacco use)</w:t>
            </w:r>
            <w:r w:rsidRPr="00A41984">
              <w:t xml:space="preserve">; </w:t>
            </w:r>
          </w:p>
          <w:p w14:paraId="0AD9249C" w14:textId="77777777" w:rsidR="007F7440" w:rsidRDefault="004C2F9B" w:rsidP="007F7440">
            <w:pPr>
              <w:pStyle w:val="Bullets"/>
              <w:spacing w:before="60" w:after="60" w:line="240" w:lineRule="auto"/>
              <w:ind w:left="320" w:hanging="270"/>
              <w:jc w:val="left"/>
            </w:pPr>
            <w:r w:rsidRPr="00A41984">
              <w:t>Designed to reasonably promote health and prevent disease;</w:t>
            </w:r>
          </w:p>
          <w:p w14:paraId="475E1EA2" w14:textId="77777777" w:rsidR="007F7440" w:rsidRDefault="004C2F9B" w:rsidP="007F7440">
            <w:pPr>
              <w:pStyle w:val="Bullets"/>
              <w:spacing w:before="60" w:after="60" w:line="240" w:lineRule="auto"/>
              <w:ind w:left="320" w:hanging="270"/>
              <w:jc w:val="left"/>
            </w:pPr>
            <w:r w:rsidRPr="00A41984">
              <w:t>Provide annual opportunity to qualify;</w:t>
            </w:r>
          </w:p>
          <w:p w14:paraId="00C9FBE8" w14:textId="77777777" w:rsidR="007F7440" w:rsidRDefault="004C2F9B" w:rsidP="007F7440">
            <w:pPr>
              <w:pStyle w:val="Bullets"/>
              <w:spacing w:before="60" w:after="60" w:line="240" w:lineRule="auto"/>
              <w:ind w:left="320" w:hanging="270"/>
              <w:jc w:val="left"/>
            </w:pPr>
            <w:r w:rsidRPr="00A41984">
              <w:t>Provide reasonable alternative standard for obtaining the reward for certain individuals; and</w:t>
            </w:r>
          </w:p>
          <w:p w14:paraId="5FD19898" w14:textId="77777777" w:rsidR="007F7440" w:rsidRPr="00A41984" w:rsidRDefault="004C2F9B" w:rsidP="007F7440">
            <w:pPr>
              <w:pStyle w:val="Bullets"/>
              <w:spacing w:before="60" w:after="60" w:line="240" w:lineRule="auto"/>
              <w:ind w:left="320" w:hanging="270"/>
              <w:jc w:val="left"/>
            </w:pPr>
            <w:r w:rsidRPr="00A41984">
              <w:t>Disclose availability of an alternati</w:t>
            </w:r>
            <w:r w:rsidRPr="00A41984">
              <w:t>ve standard.</w:t>
            </w:r>
          </w:p>
          <w:p w14:paraId="06D7EA99" w14:textId="77777777" w:rsidR="007F7440" w:rsidRPr="00311E37" w:rsidRDefault="004C2F9B" w:rsidP="007F7440">
            <w:pPr>
              <w:spacing w:before="60" w:after="60"/>
              <w:rPr>
                <w:color w:val="595959"/>
              </w:rPr>
            </w:pPr>
            <w:r w:rsidRPr="00311E37">
              <w:rPr>
                <w:color w:val="595959"/>
              </w:rPr>
              <w:lastRenderedPageBreak/>
              <w:t>The disclosure must include contact information for obtaining the alternative and a statement that recommendations of an individual’s personal physician will be accommodated. If plan materials merely mention that a wellness program is availabl</w:t>
            </w:r>
            <w:r w:rsidRPr="00311E37">
              <w:rPr>
                <w:color w:val="595959"/>
              </w:rPr>
              <w:t xml:space="preserve">e, without describing its terms, this disclosure is not required. </w:t>
            </w:r>
            <w:r w:rsidRPr="00FF41E4">
              <w:rPr>
                <w:color w:val="595959"/>
              </w:rPr>
              <w:t xml:space="preserve">Sample language is available in the DOL’s </w:t>
            </w:r>
            <w:hyperlink r:id="rId36" w:history="1">
              <w:r w:rsidRPr="00896299">
                <w:rPr>
                  <w:rStyle w:val="Hyperlink"/>
                </w:rPr>
                <w:t>model notice guide</w:t>
              </w:r>
            </w:hyperlink>
            <w:r w:rsidRPr="00FF41E4">
              <w:rPr>
                <w:color w:val="595959"/>
              </w:rPr>
              <w:t xml:space="preserve">.  </w:t>
            </w:r>
          </w:p>
        </w:tc>
      </w:tr>
      <w:tr w:rsidR="00960533" w14:paraId="6B691F29" w14:textId="77777777" w:rsidTr="00F474DA">
        <w:trPr>
          <w:trHeight w:val="1898"/>
          <w:jc w:val="center"/>
        </w:trPr>
        <w:tc>
          <w:tcPr>
            <w:tcW w:w="1732" w:type="dxa"/>
            <w:vMerge w:val="restart"/>
            <w:shd w:val="clear" w:color="auto" w:fill="EDEDED" w:themeFill="accent3" w:themeFillTint="33"/>
            <w:vAlign w:val="center"/>
          </w:tcPr>
          <w:p w14:paraId="1BD3A348" w14:textId="77777777" w:rsidR="007F7440" w:rsidRPr="00311E37" w:rsidRDefault="004C2F9B" w:rsidP="007F7440">
            <w:pPr>
              <w:spacing w:before="60" w:after="60"/>
              <w:jc w:val="center"/>
              <w:rPr>
                <w:b/>
                <w:color w:val="32607A"/>
              </w:rPr>
            </w:pPr>
            <w:r w:rsidRPr="00F474DA">
              <w:rPr>
                <w:b/>
                <w:color w:val="5083C9"/>
              </w:rPr>
              <w:lastRenderedPageBreak/>
              <w:t>HIPAA—Privacy  and Security</w:t>
            </w:r>
          </w:p>
        </w:tc>
        <w:tc>
          <w:tcPr>
            <w:tcW w:w="1688" w:type="dxa"/>
            <w:vMerge w:val="restart"/>
            <w:shd w:val="clear" w:color="auto" w:fill="EDEDED" w:themeFill="accent3" w:themeFillTint="33"/>
            <w:vAlign w:val="center"/>
          </w:tcPr>
          <w:p w14:paraId="212BC99D" w14:textId="77777777" w:rsidR="007F7440" w:rsidRPr="00311E37" w:rsidRDefault="004C2F9B" w:rsidP="007F7440">
            <w:pPr>
              <w:spacing w:before="60" w:after="60"/>
              <w:jc w:val="center"/>
              <w:rPr>
                <w:color w:val="595959"/>
              </w:rPr>
            </w:pPr>
            <w:r w:rsidRPr="00311E37">
              <w:rPr>
                <w:color w:val="595959"/>
              </w:rPr>
              <w:t>Covered Entities: Group health plans, health care clea</w:t>
            </w:r>
            <w:r>
              <w:rPr>
                <w:color w:val="595959"/>
              </w:rPr>
              <w:t xml:space="preserve">ring- houses and </w:t>
            </w:r>
            <w:r w:rsidRPr="00311E37">
              <w:rPr>
                <w:color w:val="595959"/>
              </w:rPr>
              <w:t xml:space="preserve">health care providers </w:t>
            </w:r>
          </w:p>
          <w:p w14:paraId="27E25850" w14:textId="77777777" w:rsidR="007F7440" w:rsidRPr="00311E37" w:rsidRDefault="004C2F9B" w:rsidP="007F7440">
            <w:pPr>
              <w:spacing w:before="60" w:after="60"/>
              <w:jc w:val="center"/>
              <w:rPr>
                <w:color w:val="595959"/>
              </w:rPr>
            </w:pPr>
            <w:r w:rsidRPr="00311E37">
              <w:rPr>
                <w:color w:val="595959"/>
              </w:rPr>
              <w:t xml:space="preserve">Business Associates: entities that create, receive, maintain or transmit protected health </w:t>
            </w:r>
            <w:r w:rsidRPr="00311E37">
              <w:rPr>
                <w:color w:val="595959"/>
              </w:rPr>
              <w:t>information (PHI) on behalf of a  Covered Entity</w:t>
            </w:r>
          </w:p>
        </w:tc>
        <w:tc>
          <w:tcPr>
            <w:tcW w:w="2835" w:type="dxa"/>
            <w:shd w:val="clear" w:color="auto" w:fill="EDEDED" w:themeFill="accent3" w:themeFillTint="33"/>
          </w:tcPr>
          <w:p w14:paraId="3162CB75" w14:textId="77777777" w:rsidR="007F7440" w:rsidRPr="00311E37" w:rsidRDefault="004C2F9B" w:rsidP="007F7440">
            <w:pPr>
              <w:spacing w:before="60" w:after="60"/>
              <w:rPr>
                <w:color w:val="595959"/>
              </w:rPr>
            </w:pPr>
            <w:r w:rsidRPr="00F474DA">
              <w:rPr>
                <w:b/>
                <w:color w:val="5083C9"/>
              </w:rPr>
              <w:t xml:space="preserve">Notice of </w:t>
            </w:r>
            <w:r w:rsidR="00BF11FD" w:rsidRPr="00F474DA">
              <w:rPr>
                <w:b/>
                <w:color w:val="5083C9"/>
              </w:rPr>
              <w:t>privacy practices</w:t>
            </w:r>
            <w:r w:rsidRPr="00311E37">
              <w:rPr>
                <w:color w:val="595959"/>
              </w:rPr>
              <w:t>—The plan administrator or insurer must provide the Notice of Privacy Practices when a participant enrolls, upon request and within 60 days of a material revision to the notice.</w:t>
            </w:r>
          </w:p>
          <w:p w14:paraId="36240B8A" w14:textId="77777777" w:rsidR="007F7440" w:rsidRPr="00311E37" w:rsidRDefault="004C2F9B" w:rsidP="007F7440">
            <w:pPr>
              <w:spacing w:before="60" w:after="60"/>
              <w:rPr>
                <w:color w:val="595959"/>
              </w:rPr>
            </w:pPr>
            <w:r w:rsidRPr="00311E37">
              <w:rPr>
                <w:color w:val="595959"/>
              </w:rPr>
              <w:t>At</w:t>
            </w:r>
            <w:r w:rsidRPr="00311E37">
              <w:rPr>
                <w:color w:val="595959"/>
              </w:rPr>
              <w:t xml:space="preserve"> least once every three years, participants must be notified about the availability of the Notice of Privacy Practices.</w:t>
            </w:r>
          </w:p>
        </w:tc>
        <w:tc>
          <w:tcPr>
            <w:tcW w:w="4455" w:type="dxa"/>
            <w:shd w:val="clear" w:color="auto" w:fill="EDEDED" w:themeFill="accent3" w:themeFillTint="33"/>
          </w:tcPr>
          <w:p w14:paraId="1FDB8447" w14:textId="77777777" w:rsidR="007F7440" w:rsidRDefault="004C2F9B" w:rsidP="007F7440">
            <w:pPr>
              <w:spacing w:before="60" w:after="60"/>
              <w:rPr>
                <w:color w:val="595959"/>
              </w:rPr>
            </w:pPr>
            <w:r w:rsidRPr="00311E37">
              <w:rPr>
                <w:color w:val="595959"/>
              </w:rPr>
              <w:t xml:space="preserve">HHS regulations require that participants be provided with a detailed explanation of their privacy rights, the plan’s legal duties with </w:t>
            </w:r>
            <w:r w:rsidRPr="00311E37">
              <w:rPr>
                <w:color w:val="595959"/>
              </w:rPr>
              <w:t xml:space="preserve">respect to protected health information, the plan’s uses and disclosures of protected health information, and how to obtain a copy of the Notice of Privacy Practices.  </w:t>
            </w:r>
          </w:p>
          <w:p w14:paraId="436E54C9" w14:textId="77777777" w:rsidR="007F7440" w:rsidRPr="00311E37" w:rsidRDefault="004C2F9B" w:rsidP="007F7440">
            <w:pPr>
              <w:spacing w:before="60" w:after="60"/>
              <w:rPr>
                <w:color w:val="595959"/>
              </w:rPr>
            </w:pPr>
            <w:r>
              <w:rPr>
                <w:color w:val="595959"/>
              </w:rPr>
              <w:t>There are special rules for fully insured health plans. If an employer with a fully ins</w:t>
            </w:r>
            <w:r>
              <w:rPr>
                <w:color w:val="595959"/>
              </w:rPr>
              <w:t xml:space="preserve">ured health plan has access to PHI, the plan must have its own privacy notice and provide it upon request. If an employer with a fully insured health plan does not have access to PHI, the plan is not required to maintain or provide a privacy notice. </w:t>
            </w:r>
          </w:p>
          <w:p w14:paraId="7AB77750" w14:textId="77777777" w:rsidR="007F7440" w:rsidRPr="00311E37" w:rsidRDefault="004C2F9B" w:rsidP="007F7440">
            <w:pPr>
              <w:spacing w:before="60" w:after="60"/>
              <w:rPr>
                <w:color w:val="595959"/>
              </w:rPr>
            </w:pPr>
            <w:r w:rsidRPr="00311E37">
              <w:rPr>
                <w:color w:val="595959"/>
              </w:rPr>
              <w:t>HHS h</w:t>
            </w:r>
            <w:r w:rsidRPr="00311E37">
              <w:rPr>
                <w:color w:val="595959"/>
              </w:rPr>
              <w:t xml:space="preserve">as developed </w:t>
            </w:r>
            <w:r w:rsidR="00F474DA">
              <w:rPr>
                <w:color w:val="595959"/>
              </w:rPr>
              <w:t>four</w:t>
            </w:r>
            <w:r w:rsidRPr="00311E37">
              <w:rPr>
                <w:color w:val="595959"/>
              </w:rPr>
              <w:t xml:space="preserve"> model privacy notices for health plans—a booklet version, a </w:t>
            </w:r>
            <w:r w:rsidR="00BF11FD" w:rsidRPr="00311E37">
              <w:rPr>
                <w:color w:val="595959"/>
              </w:rPr>
              <w:t>full-page</w:t>
            </w:r>
            <w:r w:rsidRPr="00311E37">
              <w:rPr>
                <w:color w:val="595959"/>
              </w:rPr>
              <w:t xml:space="preserve"> version</w:t>
            </w:r>
            <w:r w:rsidR="00F474DA">
              <w:rPr>
                <w:color w:val="595959"/>
              </w:rPr>
              <w:t xml:space="preserve">, </w:t>
            </w:r>
            <w:r w:rsidRPr="00311E37">
              <w:rPr>
                <w:color w:val="595959"/>
              </w:rPr>
              <w:t>a layered version</w:t>
            </w:r>
            <w:r w:rsidR="00F474DA">
              <w:rPr>
                <w:color w:val="595959"/>
              </w:rPr>
              <w:t xml:space="preserve"> and a plain text version.</w:t>
            </w:r>
            <w:r w:rsidRPr="00311E37">
              <w:rPr>
                <w:color w:val="595959"/>
              </w:rPr>
              <w:t xml:space="preserve"> These model notices, as well as instructions on how to use them, are available on HHS’ </w:t>
            </w:r>
            <w:hyperlink r:id="rId37" w:history="1">
              <w:r w:rsidRPr="00311E37">
                <w:rPr>
                  <w:rStyle w:val="Hyperlink"/>
                  <w:color w:val="595959"/>
                </w:rPr>
                <w:t>website</w:t>
              </w:r>
            </w:hyperlink>
            <w:r w:rsidRPr="00311E37">
              <w:rPr>
                <w:color w:val="595959"/>
              </w:rPr>
              <w:t xml:space="preserve">. </w:t>
            </w:r>
          </w:p>
        </w:tc>
      </w:tr>
      <w:tr w:rsidR="00960533" w14:paraId="5AC9BE80" w14:textId="77777777" w:rsidTr="00F474DA">
        <w:trPr>
          <w:trHeight w:val="711"/>
          <w:jc w:val="center"/>
        </w:trPr>
        <w:tc>
          <w:tcPr>
            <w:tcW w:w="1732" w:type="dxa"/>
            <w:vMerge/>
            <w:shd w:val="clear" w:color="auto" w:fill="EDEDED" w:themeFill="accent3" w:themeFillTint="33"/>
          </w:tcPr>
          <w:p w14:paraId="3ADD65B3" w14:textId="77777777" w:rsidR="007F7440" w:rsidRPr="00311E37" w:rsidRDefault="007F7440" w:rsidP="007F7440">
            <w:pPr>
              <w:spacing w:before="60" w:after="60"/>
              <w:rPr>
                <w:b/>
                <w:color w:val="595959"/>
              </w:rPr>
            </w:pPr>
          </w:p>
        </w:tc>
        <w:tc>
          <w:tcPr>
            <w:tcW w:w="1688" w:type="dxa"/>
            <w:vMerge/>
            <w:shd w:val="clear" w:color="auto" w:fill="EDEDED" w:themeFill="accent3" w:themeFillTint="33"/>
          </w:tcPr>
          <w:p w14:paraId="5A935CF7"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626260DF" w14:textId="77777777" w:rsidR="007F7440" w:rsidRPr="00311E37" w:rsidRDefault="004C2F9B" w:rsidP="007F7440">
            <w:pPr>
              <w:spacing w:before="60" w:after="60"/>
              <w:rPr>
                <w:color w:val="595959"/>
              </w:rPr>
            </w:pPr>
            <w:r w:rsidRPr="00F474DA">
              <w:rPr>
                <w:b/>
                <w:color w:val="5083C9"/>
              </w:rPr>
              <w:t xml:space="preserve">Notice of </w:t>
            </w:r>
            <w:r w:rsidR="00BF11FD" w:rsidRPr="00F474DA">
              <w:rPr>
                <w:b/>
                <w:color w:val="5083C9"/>
              </w:rPr>
              <w:t>breach of unsecured</w:t>
            </w:r>
            <w:r w:rsidRPr="00F474DA">
              <w:rPr>
                <w:b/>
                <w:color w:val="5083C9"/>
              </w:rPr>
              <w:t xml:space="preserve"> PHI</w:t>
            </w:r>
            <w:r w:rsidRPr="00311E37">
              <w:rPr>
                <w:b/>
                <w:color w:val="595959"/>
              </w:rPr>
              <w:t>—</w:t>
            </w:r>
            <w:r w:rsidRPr="00311E37">
              <w:rPr>
                <w:color w:val="595959"/>
              </w:rPr>
              <w:t xml:space="preserve">Covered entities and their business associates must provide notification following a breach of unsecured PHI without unreasonable delay and in no case later than 60 </w:t>
            </w:r>
            <w:r w:rsidRPr="00311E37">
              <w:rPr>
                <w:color w:val="595959"/>
              </w:rPr>
              <w:lastRenderedPageBreak/>
              <w:t xml:space="preserve">days following the discovery of a breach. </w:t>
            </w:r>
          </w:p>
        </w:tc>
        <w:tc>
          <w:tcPr>
            <w:tcW w:w="4455" w:type="dxa"/>
            <w:shd w:val="clear" w:color="auto" w:fill="EDEDED" w:themeFill="accent3" w:themeFillTint="33"/>
          </w:tcPr>
          <w:p w14:paraId="732B2F7D" w14:textId="77777777" w:rsidR="007F7440" w:rsidRPr="00311E37" w:rsidRDefault="004C2F9B" w:rsidP="007F7440">
            <w:pPr>
              <w:spacing w:before="60" w:after="60"/>
              <w:rPr>
                <w:color w:val="595959"/>
              </w:rPr>
            </w:pPr>
            <w:r w:rsidRPr="00311E37">
              <w:rPr>
                <w:color w:val="595959"/>
              </w:rPr>
              <w:lastRenderedPageBreak/>
              <w:t>Following a breach of unsecured PHI, covered ent</w:t>
            </w:r>
            <w:r w:rsidRPr="00311E37">
              <w:rPr>
                <w:color w:val="595959"/>
              </w:rPr>
              <w:t>ities must provide notification of the breach to affected individuals, HHS and, in certain circumstances, to the media. If the unsecured PHI is held by a business associate, the business associate must notify the covered entity that a breach has occurred.</w:t>
            </w:r>
          </w:p>
        </w:tc>
      </w:tr>
      <w:tr w:rsidR="00960533" w14:paraId="1BBF5778" w14:textId="77777777" w:rsidTr="00F474DA">
        <w:trPr>
          <w:trHeight w:val="631"/>
          <w:jc w:val="center"/>
        </w:trPr>
        <w:tc>
          <w:tcPr>
            <w:tcW w:w="1732" w:type="dxa"/>
            <w:shd w:val="clear" w:color="auto" w:fill="EDEDED" w:themeFill="accent3" w:themeFillTint="33"/>
            <w:vAlign w:val="center"/>
          </w:tcPr>
          <w:p w14:paraId="089E2A84" w14:textId="77777777" w:rsidR="007F7440" w:rsidRPr="00311E37" w:rsidRDefault="004C2F9B" w:rsidP="007F7440">
            <w:pPr>
              <w:spacing w:before="60" w:after="60"/>
              <w:jc w:val="center"/>
              <w:rPr>
                <w:b/>
                <w:color w:val="32607A"/>
              </w:rPr>
            </w:pPr>
            <w:r w:rsidRPr="00F474DA">
              <w:rPr>
                <w:b/>
                <w:color w:val="5083C9"/>
              </w:rPr>
              <w:t>HIPAA-Portability</w:t>
            </w:r>
          </w:p>
        </w:tc>
        <w:tc>
          <w:tcPr>
            <w:tcW w:w="1688" w:type="dxa"/>
            <w:shd w:val="clear" w:color="auto" w:fill="EDEDED" w:themeFill="accent3" w:themeFillTint="33"/>
            <w:vAlign w:val="center"/>
          </w:tcPr>
          <w:p w14:paraId="36D1C0A7" w14:textId="77777777" w:rsidR="007F7440" w:rsidRPr="00311E37" w:rsidRDefault="004C2F9B" w:rsidP="007F7440">
            <w:pPr>
              <w:spacing w:before="60" w:after="60"/>
              <w:jc w:val="center"/>
              <w:rPr>
                <w:color w:val="595959"/>
              </w:rPr>
            </w:pPr>
            <w:r w:rsidRPr="00311E37">
              <w:rPr>
                <w:color w:val="595959"/>
              </w:rPr>
              <w:t>Group health plans and issuers of group health plan insurance coverage, unless exception applies</w:t>
            </w:r>
          </w:p>
        </w:tc>
        <w:tc>
          <w:tcPr>
            <w:tcW w:w="2835" w:type="dxa"/>
            <w:shd w:val="clear" w:color="auto" w:fill="EDEDED" w:themeFill="accent3" w:themeFillTint="33"/>
          </w:tcPr>
          <w:p w14:paraId="27D89113" w14:textId="77777777" w:rsidR="007F7440" w:rsidRPr="00311E37" w:rsidRDefault="004C2F9B" w:rsidP="007F7440">
            <w:pPr>
              <w:spacing w:before="60" w:after="60"/>
              <w:rPr>
                <w:color w:val="595959"/>
              </w:rPr>
            </w:pPr>
            <w:r w:rsidRPr="00F474DA">
              <w:rPr>
                <w:b/>
                <w:color w:val="5083C9"/>
              </w:rPr>
              <w:t>Notice of special enrollment rights</w:t>
            </w:r>
            <w:r w:rsidRPr="00311E37">
              <w:rPr>
                <w:color w:val="595959"/>
              </w:rPr>
              <w:t xml:space="preserve">—Plan administrators must provide at or before the time an employee is initially offered the opportunity </w:t>
            </w:r>
            <w:r w:rsidRPr="00311E37">
              <w:rPr>
                <w:color w:val="595959"/>
              </w:rPr>
              <w:t>to enroll in the group health plan.</w:t>
            </w:r>
          </w:p>
        </w:tc>
        <w:tc>
          <w:tcPr>
            <w:tcW w:w="4455" w:type="dxa"/>
            <w:shd w:val="clear" w:color="auto" w:fill="EDEDED" w:themeFill="accent3" w:themeFillTint="33"/>
          </w:tcPr>
          <w:p w14:paraId="3A42478A" w14:textId="77777777" w:rsidR="007F7440" w:rsidRPr="00311E37" w:rsidRDefault="004C2F9B" w:rsidP="007F7440">
            <w:pPr>
              <w:spacing w:before="60" w:after="60"/>
              <w:rPr>
                <w:color w:val="595959"/>
              </w:rPr>
            </w:pPr>
            <w:r w:rsidRPr="00311E37">
              <w:rPr>
                <w:color w:val="595959"/>
              </w:rPr>
              <w:t>Notice to employees eligible to enroll in a group health plan describing the group health plan’s special enrollment rules including the right to enroll within 30 days of the loss of other coverage or of marriage, birth o</w:t>
            </w:r>
            <w:r w:rsidRPr="00311E37">
              <w:rPr>
                <w:color w:val="595959"/>
              </w:rPr>
              <w:t>f a child, adoption, or placement for adoption, or within 60 days of the loss of coverage under a Medicaid plan or CHIP, or within 60 days of a determination of eligibility for a premium assistance subsidy under Medicaid or CHIP.</w:t>
            </w:r>
            <w:r>
              <w:rPr>
                <w:color w:val="595959"/>
              </w:rPr>
              <w:t xml:space="preserve"> </w:t>
            </w:r>
            <w:r w:rsidRPr="0049027B">
              <w:rPr>
                <w:color w:val="595959"/>
              </w:rPr>
              <w:t>This notice is often inclu</w:t>
            </w:r>
            <w:r w:rsidRPr="0049027B">
              <w:rPr>
                <w:color w:val="595959"/>
              </w:rPr>
              <w:t>ded in the health plan’s SPD or insurance booklet.</w:t>
            </w:r>
          </w:p>
        </w:tc>
      </w:tr>
      <w:tr w:rsidR="00960533" w14:paraId="35267BD5" w14:textId="77777777" w:rsidTr="00F474DA">
        <w:trPr>
          <w:trHeight w:val="1080"/>
          <w:jc w:val="center"/>
        </w:trPr>
        <w:tc>
          <w:tcPr>
            <w:tcW w:w="1732" w:type="dxa"/>
            <w:shd w:val="clear" w:color="auto" w:fill="EDEDED" w:themeFill="accent3" w:themeFillTint="33"/>
            <w:vAlign w:val="center"/>
          </w:tcPr>
          <w:p w14:paraId="168B645F" w14:textId="77777777" w:rsidR="007F7440" w:rsidRPr="00311E37" w:rsidRDefault="004C2F9B" w:rsidP="007F7440">
            <w:pPr>
              <w:spacing w:before="60" w:after="60"/>
              <w:jc w:val="center"/>
              <w:rPr>
                <w:color w:val="32607A"/>
              </w:rPr>
            </w:pPr>
            <w:r w:rsidRPr="00F474DA">
              <w:rPr>
                <w:b/>
                <w:color w:val="5083C9"/>
              </w:rPr>
              <w:t>CHIPRA</w:t>
            </w:r>
          </w:p>
        </w:tc>
        <w:tc>
          <w:tcPr>
            <w:tcW w:w="1688" w:type="dxa"/>
            <w:shd w:val="clear" w:color="auto" w:fill="EDEDED" w:themeFill="accent3" w:themeFillTint="33"/>
            <w:vAlign w:val="center"/>
          </w:tcPr>
          <w:p w14:paraId="7C9658D0" w14:textId="77777777" w:rsidR="007F7440" w:rsidRPr="00311E37" w:rsidRDefault="004C2F9B" w:rsidP="007F7440">
            <w:pPr>
              <w:spacing w:before="60" w:after="60"/>
              <w:jc w:val="center"/>
              <w:rPr>
                <w:color w:val="595959"/>
              </w:rPr>
            </w:pPr>
            <w:r w:rsidRPr="00311E37">
              <w:rPr>
                <w:bCs/>
                <w:color w:val="595959"/>
              </w:rPr>
              <w:t>Employers that maintain group health plans covering employees in states that provide premium assistance subsidies under a Medicaid plan or CHIP</w:t>
            </w:r>
          </w:p>
        </w:tc>
        <w:tc>
          <w:tcPr>
            <w:tcW w:w="2835" w:type="dxa"/>
            <w:shd w:val="clear" w:color="auto" w:fill="EDEDED" w:themeFill="accent3" w:themeFillTint="33"/>
          </w:tcPr>
          <w:p w14:paraId="2EDA2EA1" w14:textId="77777777" w:rsidR="007F7440" w:rsidRPr="00311E37" w:rsidRDefault="004C2F9B" w:rsidP="007F7440">
            <w:pPr>
              <w:spacing w:before="60" w:after="60"/>
              <w:rPr>
                <w:b/>
                <w:color w:val="595959"/>
              </w:rPr>
            </w:pPr>
            <w:r w:rsidRPr="00F474DA">
              <w:rPr>
                <w:b/>
                <w:color w:val="5083C9"/>
              </w:rPr>
              <w:t xml:space="preserve">Annual </w:t>
            </w:r>
            <w:r w:rsidR="00BF11FD">
              <w:rPr>
                <w:b/>
                <w:color w:val="5083C9"/>
              </w:rPr>
              <w:t>e</w:t>
            </w:r>
            <w:r w:rsidRPr="00F474DA">
              <w:rPr>
                <w:b/>
                <w:color w:val="5083C9"/>
              </w:rPr>
              <w:t xml:space="preserve">mployer CHIP </w:t>
            </w:r>
            <w:r w:rsidR="00BF11FD">
              <w:rPr>
                <w:b/>
                <w:color w:val="5083C9"/>
              </w:rPr>
              <w:t>n</w:t>
            </w:r>
            <w:r w:rsidRPr="00F474DA">
              <w:rPr>
                <w:b/>
                <w:color w:val="5083C9"/>
              </w:rPr>
              <w:t>otice</w:t>
            </w:r>
            <w:r w:rsidRPr="00311E37">
              <w:rPr>
                <w:b/>
                <w:color w:val="595959"/>
              </w:rPr>
              <w:t>—</w:t>
            </w:r>
            <w:r w:rsidRPr="00311E37">
              <w:rPr>
                <w:color w:val="595959"/>
              </w:rPr>
              <w:t xml:space="preserve">If an employer’s group health plan covers residents in a state that provides a premium subsidy, the employer must send an annual notice about the available assistance to all employees residing in that state. </w:t>
            </w:r>
            <w:r w:rsidRPr="00311E37">
              <w:rPr>
                <w:b/>
                <w:color w:val="595959"/>
              </w:rPr>
              <w:t xml:space="preserve">  </w:t>
            </w:r>
          </w:p>
          <w:p w14:paraId="033BB520" w14:textId="77777777" w:rsidR="007F7440" w:rsidRPr="00311E37" w:rsidRDefault="007F7440" w:rsidP="007F7440">
            <w:pPr>
              <w:spacing w:before="60" w:after="60"/>
              <w:rPr>
                <w:b/>
                <w:color w:val="595959"/>
              </w:rPr>
            </w:pPr>
          </w:p>
        </w:tc>
        <w:tc>
          <w:tcPr>
            <w:tcW w:w="4455" w:type="dxa"/>
            <w:shd w:val="clear" w:color="auto" w:fill="EDEDED" w:themeFill="accent3" w:themeFillTint="33"/>
          </w:tcPr>
          <w:p w14:paraId="24A04FEA" w14:textId="77777777" w:rsidR="007F7440" w:rsidRPr="00311E37" w:rsidRDefault="004C2F9B" w:rsidP="007F7440">
            <w:pPr>
              <w:spacing w:before="60" w:after="60"/>
              <w:rPr>
                <w:bCs/>
                <w:color w:val="595959"/>
              </w:rPr>
            </w:pPr>
            <w:r w:rsidRPr="00311E37">
              <w:rPr>
                <w:bCs/>
                <w:color w:val="595959"/>
              </w:rPr>
              <w:t>States may offer eligible low-income childre</w:t>
            </w:r>
            <w:r w:rsidRPr="00311E37">
              <w:rPr>
                <w:bCs/>
                <w:color w:val="595959"/>
              </w:rPr>
              <w:t>n and their families a premium assistance subsidy to help pay for employer-sponsored coverage. If an employer’s group health plan covers residents in a state that provides a premium subsidy, the employer must send an annual notice about the available assis</w:t>
            </w:r>
            <w:r w:rsidRPr="00311E37">
              <w:rPr>
                <w:bCs/>
                <w:color w:val="595959"/>
              </w:rPr>
              <w:t>tance to all employees residing in that state. Employers may use the</w:t>
            </w:r>
            <w:r>
              <w:rPr>
                <w:bCs/>
                <w:color w:val="595959"/>
              </w:rPr>
              <w:t xml:space="preserve"> </w:t>
            </w:r>
            <w:hyperlink r:id="rId38" w:history="1">
              <w:r w:rsidRPr="00791640">
                <w:rPr>
                  <w:rStyle w:val="Hyperlink"/>
                  <w:bCs/>
                </w:rPr>
                <w:t>model notice</w:t>
              </w:r>
            </w:hyperlink>
            <w:r w:rsidRPr="00311E37">
              <w:rPr>
                <w:bCs/>
                <w:color w:val="595959"/>
              </w:rPr>
              <w:t xml:space="preserve"> provided by the DOL as a national notice to meet their obligations under CHIPRA. </w:t>
            </w:r>
          </w:p>
        </w:tc>
      </w:tr>
      <w:tr w:rsidR="00960533" w14:paraId="2B6033BB" w14:textId="77777777" w:rsidTr="00F474DA">
        <w:trPr>
          <w:trHeight w:val="1080"/>
          <w:jc w:val="center"/>
        </w:trPr>
        <w:tc>
          <w:tcPr>
            <w:tcW w:w="1732" w:type="dxa"/>
            <w:shd w:val="clear" w:color="auto" w:fill="EDEDED" w:themeFill="accent3" w:themeFillTint="33"/>
            <w:vAlign w:val="center"/>
          </w:tcPr>
          <w:p w14:paraId="20697139" w14:textId="77777777" w:rsidR="007F7440" w:rsidRPr="00311E37" w:rsidRDefault="004C2F9B" w:rsidP="007F7440">
            <w:pPr>
              <w:spacing w:before="60" w:after="60"/>
              <w:jc w:val="center"/>
              <w:rPr>
                <w:b/>
                <w:color w:val="32607A"/>
              </w:rPr>
            </w:pPr>
            <w:r w:rsidRPr="00F474DA">
              <w:rPr>
                <w:b/>
                <w:color w:val="5083C9"/>
              </w:rPr>
              <w:t>Individual Coverage HRA (ICHRA)</w:t>
            </w:r>
          </w:p>
        </w:tc>
        <w:tc>
          <w:tcPr>
            <w:tcW w:w="1688" w:type="dxa"/>
            <w:shd w:val="clear" w:color="auto" w:fill="EDEDED" w:themeFill="accent3" w:themeFillTint="33"/>
            <w:vAlign w:val="center"/>
          </w:tcPr>
          <w:p w14:paraId="08295F31" w14:textId="77777777" w:rsidR="007F7440" w:rsidRPr="00311E37" w:rsidRDefault="004C2F9B" w:rsidP="007F7440">
            <w:pPr>
              <w:spacing w:before="60" w:after="60"/>
              <w:jc w:val="center"/>
              <w:rPr>
                <w:bCs/>
                <w:color w:val="595959"/>
              </w:rPr>
            </w:pPr>
            <w:r w:rsidRPr="007F7199">
              <w:rPr>
                <w:bCs/>
                <w:color w:val="595959"/>
              </w:rPr>
              <w:t>Employers that sponsor ICHRAs for specific classes of employees (or all employees)</w:t>
            </w:r>
          </w:p>
        </w:tc>
        <w:tc>
          <w:tcPr>
            <w:tcW w:w="2835" w:type="dxa"/>
            <w:shd w:val="clear" w:color="auto" w:fill="EDEDED" w:themeFill="accent3" w:themeFillTint="33"/>
          </w:tcPr>
          <w:p w14:paraId="36359938" w14:textId="77777777" w:rsidR="007F7440" w:rsidRPr="007F7199" w:rsidRDefault="004C2F9B" w:rsidP="007F7440">
            <w:pPr>
              <w:spacing w:before="60" w:after="60"/>
              <w:rPr>
                <w:color w:val="BE5A1C"/>
              </w:rPr>
            </w:pPr>
            <w:r w:rsidRPr="00F474DA">
              <w:rPr>
                <w:b/>
                <w:color w:val="5083C9"/>
              </w:rPr>
              <w:t xml:space="preserve">ICHRA </w:t>
            </w:r>
            <w:r w:rsidR="00BF11FD">
              <w:rPr>
                <w:b/>
                <w:color w:val="5083C9"/>
              </w:rPr>
              <w:t>n</w:t>
            </w:r>
            <w:r w:rsidRPr="00F474DA">
              <w:rPr>
                <w:b/>
                <w:color w:val="5083C9"/>
              </w:rPr>
              <w:t>otice</w:t>
            </w:r>
            <w:r w:rsidRPr="007F7199">
              <w:rPr>
                <w:b/>
                <w:color w:val="595959"/>
              </w:rPr>
              <w:t>—</w:t>
            </w:r>
            <w:r w:rsidRPr="007F7199">
              <w:rPr>
                <w:bCs/>
                <w:color w:val="595959"/>
              </w:rPr>
              <w:t>Employers with ICHRAs must provide a notice to eligible participants regarding the ICHRA. In general, this notice must be provid</w:t>
            </w:r>
            <w:r w:rsidRPr="007F7199">
              <w:rPr>
                <w:bCs/>
                <w:color w:val="595959"/>
              </w:rPr>
              <w:t>ed at least 90 days before the beginning of each plan year.</w:t>
            </w:r>
            <w:r>
              <w:rPr>
                <w:bCs/>
                <w:color w:val="595959"/>
              </w:rPr>
              <w:t xml:space="preserve"> </w:t>
            </w:r>
          </w:p>
        </w:tc>
        <w:tc>
          <w:tcPr>
            <w:tcW w:w="4455" w:type="dxa"/>
            <w:shd w:val="clear" w:color="auto" w:fill="EDEDED" w:themeFill="accent3" w:themeFillTint="33"/>
          </w:tcPr>
          <w:p w14:paraId="4143B895" w14:textId="77777777" w:rsidR="007F7440" w:rsidRPr="00DC5D90" w:rsidRDefault="004C2F9B" w:rsidP="007F7440">
            <w:pPr>
              <w:spacing w:before="60" w:after="60"/>
              <w:rPr>
                <w:bCs/>
                <w:color w:val="595959"/>
              </w:rPr>
            </w:pPr>
            <w:r w:rsidRPr="007F7199">
              <w:rPr>
                <w:color w:val="595959"/>
              </w:rPr>
              <w:t>Be</w:t>
            </w:r>
            <w:r w:rsidRPr="007F7199">
              <w:rPr>
                <w:bCs/>
                <w:color w:val="595959"/>
              </w:rPr>
              <w:t>ginning</w:t>
            </w:r>
            <w:r>
              <w:rPr>
                <w:bCs/>
                <w:color w:val="595959"/>
              </w:rPr>
              <w:t xml:space="preserve"> </w:t>
            </w:r>
            <w:r w:rsidRPr="007F7199">
              <w:rPr>
                <w:bCs/>
                <w:color w:val="595959"/>
              </w:rPr>
              <w:t xml:space="preserve"> in 2020, employers of all sizes may implement an ICHRA to reimburse their eligible employees for insurance policies purchased in the individual market or Medicare premiums.</w:t>
            </w:r>
            <w:r>
              <w:rPr>
                <w:bCs/>
                <w:color w:val="595959"/>
              </w:rPr>
              <w:t xml:space="preserve"> Employers w</w:t>
            </w:r>
            <w:r>
              <w:rPr>
                <w:bCs/>
                <w:color w:val="595959"/>
              </w:rPr>
              <w:t>ith ICHRAs</w:t>
            </w:r>
            <w:r w:rsidRPr="00DC5D90">
              <w:rPr>
                <w:bCs/>
                <w:color w:val="595959"/>
              </w:rPr>
              <w:t xml:space="preserve"> must provide written notice to eligible participants including, among other things, the following information:</w:t>
            </w:r>
          </w:p>
          <w:p w14:paraId="5E0D11A8" w14:textId="77777777" w:rsidR="007F7440" w:rsidRDefault="004C2F9B" w:rsidP="007F7440">
            <w:pPr>
              <w:pStyle w:val="Bullets"/>
              <w:numPr>
                <w:ilvl w:val="0"/>
                <w:numId w:val="22"/>
              </w:numPr>
              <w:spacing w:before="60" w:after="60"/>
              <w:ind w:left="346" w:hanging="274"/>
            </w:pPr>
            <w:r w:rsidRPr="00DC5D90">
              <w:t xml:space="preserve">A description of the terms of the </w:t>
            </w:r>
            <w:r>
              <w:t>IC</w:t>
            </w:r>
            <w:r w:rsidRPr="00DC5D90">
              <w:t>HRA</w:t>
            </w:r>
            <w:r>
              <w:t xml:space="preserve">; </w:t>
            </w:r>
          </w:p>
          <w:p w14:paraId="366B3897" w14:textId="77777777" w:rsidR="007F7440" w:rsidRDefault="004C2F9B" w:rsidP="007F7440">
            <w:pPr>
              <w:pStyle w:val="Bullets"/>
              <w:numPr>
                <w:ilvl w:val="0"/>
                <w:numId w:val="22"/>
              </w:numPr>
              <w:spacing w:before="60" w:after="60"/>
              <w:ind w:left="346" w:hanging="274"/>
              <w:jc w:val="left"/>
              <w:rPr>
                <w:bCs/>
              </w:rPr>
            </w:pPr>
            <w:r w:rsidRPr="00DC5D90">
              <w:rPr>
                <w:bCs/>
              </w:rPr>
              <w:t xml:space="preserve">A statement of the participant’s right to opt out of and waive future reimbursement under the </w:t>
            </w:r>
            <w:r>
              <w:rPr>
                <w:bCs/>
              </w:rPr>
              <w:t>IC</w:t>
            </w:r>
            <w:r w:rsidRPr="00DC5D90">
              <w:rPr>
                <w:bCs/>
              </w:rPr>
              <w:t>HRA;</w:t>
            </w:r>
            <w:r>
              <w:rPr>
                <w:bCs/>
              </w:rPr>
              <w:t xml:space="preserve"> and </w:t>
            </w:r>
          </w:p>
          <w:p w14:paraId="4A66DB89" w14:textId="77777777" w:rsidR="007F7440" w:rsidRPr="00DC5D90" w:rsidRDefault="004C2F9B" w:rsidP="007F7440">
            <w:pPr>
              <w:pStyle w:val="Bullets"/>
              <w:numPr>
                <w:ilvl w:val="0"/>
                <w:numId w:val="22"/>
              </w:numPr>
              <w:spacing w:before="60" w:after="60"/>
              <w:ind w:left="346" w:hanging="274"/>
              <w:jc w:val="left"/>
              <w:rPr>
                <w:bCs/>
              </w:rPr>
            </w:pPr>
            <w:r w:rsidRPr="00DC5D90">
              <w:rPr>
                <w:bCs/>
              </w:rPr>
              <w:lastRenderedPageBreak/>
              <w:t xml:space="preserve">A description of the premium tax credit eligibility consequences for a participant who accepts the </w:t>
            </w:r>
            <w:r>
              <w:rPr>
                <w:bCs/>
              </w:rPr>
              <w:t>IC</w:t>
            </w:r>
            <w:r w:rsidRPr="00DC5D90">
              <w:rPr>
                <w:bCs/>
              </w:rPr>
              <w:t>HRA.</w:t>
            </w:r>
          </w:p>
          <w:p w14:paraId="6700F913" w14:textId="77777777" w:rsidR="007F7440" w:rsidRPr="00311E37" w:rsidRDefault="004C2F9B" w:rsidP="007F7440">
            <w:pPr>
              <w:spacing w:before="60" w:after="60"/>
              <w:rPr>
                <w:bCs/>
                <w:color w:val="595959"/>
              </w:rPr>
            </w:pPr>
            <w:r w:rsidRPr="00DC5D90">
              <w:rPr>
                <w:bCs/>
                <w:color w:val="595959"/>
              </w:rPr>
              <w:t xml:space="preserve">A </w:t>
            </w:r>
            <w:hyperlink r:id="rId39" w:history="1">
              <w:r w:rsidRPr="00DC5D90">
                <w:rPr>
                  <w:rStyle w:val="Hyperlink"/>
                  <w:bCs/>
                </w:rPr>
                <w:t>model notice</w:t>
              </w:r>
            </w:hyperlink>
            <w:r w:rsidRPr="00DC5D90">
              <w:rPr>
                <w:bCs/>
                <w:color w:val="595959"/>
              </w:rPr>
              <w:t xml:space="preserve"> is available for employers to use to satisfy this notice requirement.</w:t>
            </w:r>
          </w:p>
        </w:tc>
      </w:tr>
      <w:tr w:rsidR="00960533" w14:paraId="6F19B204" w14:textId="77777777" w:rsidTr="00BF11FD">
        <w:trPr>
          <w:trHeight w:val="621"/>
          <w:jc w:val="center"/>
        </w:trPr>
        <w:tc>
          <w:tcPr>
            <w:tcW w:w="1732" w:type="dxa"/>
            <w:vMerge w:val="restart"/>
            <w:shd w:val="clear" w:color="auto" w:fill="EDEDED" w:themeFill="accent3" w:themeFillTint="33"/>
            <w:vAlign w:val="center"/>
          </w:tcPr>
          <w:p w14:paraId="24AD6101" w14:textId="77777777" w:rsidR="007F7440" w:rsidRPr="00BF11FD" w:rsidRDefault="004C2F9B" w:rsidP="007F7440">
            <w:pPr>
              <w:spacing w:before="60" w:after="60"/>
              <w:jc w:val="center"/>
              <w:rPr>
                <w:b/>
                <w:color w:val="5083C9"/>
              </w:rPr>
            </w:pPr>
            <w:r w:rsidRPr="00BF11FD">
              <w:rPr>
                <w:b/>
                <w:color w:val="5083C9"/>
              </w:rPr>
              <w:lastRenderedPageBreak/>
              <w:t>Medicare Part D</w:t>
            </w:r>
          </w:p>
          <w:p w14:paraId="2A6F3590" w14:textId="77777777" w:rsidR="007F7440" w:rsidRPr="00311E37" w:rsidRDefault="007F7440" w:rsidP="007F7440">
            <w:pPr>
              <w:spacing w:before="60" w:after="60"/>
              <w:jc w:val="center"/>
              <w:rPr>
                <w:color w:val="595959"/>
              </w:rPr>
            </w:pPr>
          </w:p>
        </w:tc>
        <w:tc>
          <w:tcPr>
            <w:tcW w:w="1688" w:type="dxa"/>
            <w:vMerge w:val="restart"/>
            <w:shd w:val="clear" w:color="auto" w:fill="EDEDED" w:themeFill="accent3" w:themeFillTint="33"/>
            <w:vAlign w:val="center"/>
          </w:tcPr>
          <w:p w14:paraId="076692C2" w14:textId="77777777" w:rsidR="007F7440" w:rsidRPr="00311E37" w:rsidRDefault="004C2F9B" w:rsidP="007F7440">
            <w:pPr>
              <w:spacing w:before="60" w:after="60"/>
              <w:jc w:val="center"/>
              <w:rPr>
                <w:color w:val="595959"/>
              </w:rPr>
            </w:pPr>
            <w:r w:rsidRPr="00311E37">
              <w:rPr>
                <w:color w:val="595959"/>
              </w:rPr>
              <w:t>Group health plan sponsor</w:t>
            </w:r>
            <w:r w:rsidRPr="00311E37">
              <w:rPr>
                <w:color w:val="595959"/>
              </w:rPr>
              <w:t>s that provide prescription drug coverage, except entities that contract with or become a Part D plan</w:t>
            </w:r>
          </w:p>
        </w:tc>
        <w:tc>
          <w:tcPr>
            <w:tcW w:w="2835" w:type="dxa"/>
            <w:shd w:val="clear" w:color="auto" w:fill="EDEDED" w:themeFill="accent3" w:themeFillTint="33"/>
          </w:tcPr>
          <w:p w14:paraId="0518CDDC" w14:textId="77777777" w:rsidR="007F7440" w:rsidRPr="00311E37" w:rsidRDefault="004C2F9B" w:rsidP="007F7440">
            <w:pPr>
              <w:spacing w:before="60" w:after="60"/>
              <w:rPr>
                <w:color w:val="595959"/>
              </w:rPr>
            </w:pPr>
            <w:r w:rsidRPr="00BF11FD">
              <w:rPr>
                <w:b/>
                <w:color w:val="5083C9"/>
              </w:rPr>
              <w:t xml:space="preserve">Disclosure </w:t>
            </w:r>
            <w:r w:rsidR="00BF11FD" w:rsidRPr="00BF11FD">
              <w:rPr>
                <w:b/>
                <w:color w:val="5083C9"/>
              </w:rPr>
              <w:t>notices for creditable or non-creditable coverage</w:t>
            </w:r>
            <w:r w:rsidRPr="00311E37">
              <w:rPr>
                <w:b/>
                <w:color w:val="595959"/>
              </w:rPr>
              <w:t>—</w:t>
            </w:r>
            <w:r w:rsidRPr="00311E37">
              <w:rPr>
                <w:color w:val="595959"/>
              </w:rPr>
              <w:t>At a minimum, must be provided by the plan sponsor at the following times:</w:t>
            </w:r>
          </w:p>
          <w:p w14:paraId="239E18F0" w14:textId="77777777" w:rsidR="007F7440" w:rsidRPr="00311E37" w:rsidRDefault="004C2F9B" w:rsidP="007F7440">
            <w:pPr>
              <w:numPr>
                <w:ilvl w:val="0"/>
                <w:numId w:val="12"/>
              </w:numPr>
              <w:spacing w:before="60" w:after="60"/>
              <w:rPr>
                <w:color w:val="595959"/>
              </w:rPr>
            </w:pPr>
            <w:r w:rsidRPr="00311E37">
              <w:rPr>
                <w:color w:val="595959"/>
              </w:rPr>
              <w:t xml:space="preserve">Prior to the </w:t>
            </w:r>
            <w:r w:rsidRPr="00311E37">
              <w:rPr>
                <w:color w:val="595959"/>
              </w:rPr>
              <w:t>Medicare Part D Annual Coordinated Election Period—Oct. 15 through Dec. 7</w:t>
            </w:r>
            <w:r w:rsidRPr="00311E37">
              <w:rPr>
                <w:color w:val="595959"/>
                <w:vertAlign w:val="superscript"/>
              </w:rPr>
              <w:t xml:space="preserve"> </w:t>
            </w:r>
            <w:r w:rsidRPr="00311E37">
              <w:rPr>
                <w:color w:val="595959"/>
              </w:rPr>
              <w:t>of each year;</w:t>
            </w:r>
          </w:p>
          <w:p w14:paraId="032F6284" w14:textId="77777777" w:rsidR="007F7440" w:rsidRPr="00311E37" w:rsidRDefault="004C2F9B" w:rsidP="007F7440">
            <w:pPr>
              <w:numPr>
                <w:ilvl w:val="0"/>
                <w:numId w:val="12"/>
              </w:numPr>
              <w:spacing w:before="60" w:after="60"/>
              <w:rPr>
                <w:color w:val="595959"/>
              </w:rPr>
            </w:pPr>
            <w:r w:rsidRPr="00311E37">
              <w:rPr>
                <w:color w:val="595959"/>
              </w:rPr>
              <w:t>Prior to an individual’s Initial Enrollment Period for Part D;</w:t>
            </w:r>
          </w:p>
          <w:p w14:paraId="4BE325B0" w14:textId="77777777" w:rsidR="007F7440" w:rsidRPr="00311E37" w:rsidRDefault="004C2F9B" w:rsidP="007F7440">
            <w:pPr>
              <w:numPr>
                <w:ilvl w:val="0"/>
                <w:numId w:val="12"/>
              </w:numPr>
              <w:spacing w:before="60" w:after="60"/>
              <w:rPr>
                <w:color w:val="595959"/>
              </w:rPr>
            </w:pPr>
            <w:r w:rsidRPr="00311E37">
              <w:rPr>
                <w:color w:val="595959"/>
              </w:rPr>
              <w:t>Prior to the effective date of coverage for any Medicare eligible individual that joins the plan;</w:t>
            </w:r>
          </w:p>
          <w:p w14:paraId="6429B292" w14:textId="77777777" w:rsidR="007F7440" w:rsidRPr="00311E37" w:rsidRDefault="004C2F9B" w:rsidP="007F7440">
            <w:pPr>
              <w:numPr>
                <w:ilvl w:val="0"/>
                <w:numId w:val="12"/>
              </w:numPr>
              <w:spacing w:before="60" w:after="60"/>
              <w:rPr>
                <w:color w:val="595959"/>
              </w:rPr>
            </w:pPr>
            <w:r w:rsidRPr="00311E37">
              <w:rPr>
                <w:color w:val="595959"/>
              </w:rPr>
              <w:t>Wheneve</w:t>
            </w:r>
            <w:r w:rsidRPr="00311E37">
              <w:rPr>
                <w:color w:val="595959"/>
              </w:rPr>
              <w:t>r prescription drug coverage ends or changes so that it is no longer creditable or becomes creditable; and</w:t>
            </w:r>
          </w:p>
          <w:p w14:paraId="2EB46F85" w14:textId="77777777" w:rsidR="007F7440" w:rsidRPr="00311E37" w:rsidRDefault="004C2F9B" w:rsidP="007F7440">
            <w:pPr>
              <w:numPr>
                <w:ilvl w:val="0"/>
                <w:numId w:val="12"/>
              </w:numPr>
              <w:spacing w:before="60" w:after="60"/>
              <w:rPr>
                <w:color w:val="595959"/>
              </w:rPr>
            </w:pPr>
            <w:r w:rsidRPr="00311E37">
              <w:rPr>
                <w:color w:val="595959"/>
              </w:rPr>
              <w:t>Upon request by a Medicare Part D eligible individual.</w:t>
            </w:r>
          </w:p>
          <w:p w14:paraId="5B270B0B" w14:textId="77777777" w:rsidR="007F7440" w:rsidRPr="00311E37" w:rsidRDefault="004C2F9B" w:rsidP="007F7440">
            <w:pPr>
              <w:spacing w:before="60" w:after="60"/>
              <w:rPr>
                <w:color w:val="595959"/>
              </w:rPr>
            </w:pPr>
            <w:r w:rsidRPr="00311E37">
              <w:rPr>
                <w:color w:val="595959"/>
              </w:rPr>
              <w:t>*If the plan sponsor provides notice to all participants annually, CMS will consider 1 &amp; 2 abo</w:t>
            </w:r>
            <w:r w:rsidRPr="00311E37">
              <w:rPr>
                <w:color w:val="595959"/>
              </w:rPr>
              <w:t xml:space="preserve">ve to be met.  “Prior </w:t>
            </w:r>
            <w:r w:rsidRPr="00311E37">
              <w:rPr>
                <w:color w:val="595959"/>
              </w:rPr>
              <w:lastRenderedPageBreak/>
              <w:t>to” means in the prior 12 months.</w:t>
            </w:r>
          </w:p>
        </w:tc>
        <w:tc>
          <w:tcPr>
            <w:tcW w:w="4455" w:type="dxa"/>
            <w:shd w:val="clear" w:color="auto" w:fill="EDEDED" w:themeFill="accent3" w:themeFillTint="33"/>
          </w:tcPr>
          <w:p w14:paraId="03DF9B03" w14:textId="77777777" w:rsidR="007F7440" w:rsidRPr="00311E37" w:rsidRDefault="004C2F9B" w:rsidP="007F7440">
            <w:pPr>
              <w:spacing w:before="60" w:after="60"/>
              <w:rPr>
                <w:color w:val="595959"/>
              </w:rPr>
            </w:pPr>
            <w:r w:rsidRPr="00311E37">
              <w:rPr>
                <w:color w:val="595959"/>
              </w:rPr>
              <w:lastRenderedPageBreak/>
              <w:t xml:space="preserve">Group health plan sponsors — or entities that offer prescription drug coverage on a group basis to active and retired employees and to Medicare Part D eligible individuals — must provide, or </w:t>
            </w:r>
            <w:r w:rsidRPr="00311E37">
              <w:rPr>
                <w:color w:val="595959"/>
              </w:rPr>
              <w:t>arrange to provide, a notice of creditable or non-creditable prescription drug coverage to Medicare Part D eligible individuals</w:t>
            </w:r>
            <w:r w:rsidRPr="00311E37">
              <w:rPr>
                <w:i/>
                <w:color w:val="595959"/>
              </w:rPr>
              <w:t xml:space="preserve"> </w:t>
            </w:r>
            <w:r w:rsidRPr="00311E37">
              <w:rPr>
                <w:color w:val="595959"/>
              </w:rPr>
              <w:t>who are covered by, or who apply for, prescription drug coverage under the entity’s plan. This creditable coverage notice alerts</w:t>
            </w:r>
            <w:r w:rsidRPr="00311E37">
              <w:rPr>
                <w:color w:val="595959"/>
              </w:rPr>
              <w:t xml:space="preserve"> the individuals as to whether or not their prescription drug coverage is at least as good as the Medicare Part D coverage.</w:t>
            </w:r>
          </w:p>
          <w:p w14:paraId="344A78CA" w14:textId="77777777" w:rsidR="007F7440" w:rsidRPr="00311E37" w:rsidRDefault="004C2F9B" w:rsidP="007F7440">
            <w:pPr>
              <w:spacing w:before="60" w:after="60"/>
              <w:rPr>
                <w:color w:val="595959"/>
              </w:rPr>
            </w:pPr>
            <w:hyperlink r:id="rId40" w:history="1">
              <w:r w:rsidRPr="00311E37">
                <w:rPr>
                  <w:rStyle w:val="Hyperlink"/>
                  <w:color w:val="595959"/>
                </w:rPr>
                <w:t>Model forms</w:t>
              </w:r>
            </w:hyperlink>
            <w:r w:rsidRPr="00311E37">
              <w:rPr>
                <w:color w:val="595959"/>
              </w:rPr>
              <w:t xml:space="preserve"> are available from CMS.</w:t>
            </w:r>
          </w:p>
          <w:p w14:paraId="2808A7CA" w14:textId="77777777" w:rsidR="007F7440" w:rsidRPr="00311E37" w:rsidRDefault="004C2F9B" w:rsidP="007F7440">
            <w:pPr>
              <w:spacing w:before="60" w:after="60"/>
              <w:rPr>
                <w:color w:val="595959"/>
              </w:rPr>
            </w:pPr>
            <w:r w:rsidRPr="00311E37">
              <w:rPr>
                <w:color w:val="595959"/>
              </w:rPr>
              <w:tab/>
            </w:r>
          </w:p>
        </w:tc>
      </w:tr>
      <w:tr w:rsidR="00960533" w14:paraId="3EC7ACF0" w14:textId="77777777" w:rsidTr="00F474DA">
        <w:trPr>
          <w:trHeight w:val="1440"/>
          <w:jc w:val="center"/>
        </w:trPr>
        <w:tc>
          <w:tcPr>
            <w:tcW w:w="1732" w:type="dxa"/>
            <w:vMerge/>
            <w:shd w:val="clear" w:color="auto" w:fill="EDEDED" w:themeFill="accent3" w:themeFillTint="33"/>
          </w:tcPr>
          <w:p w14:paraId="47CF4827" w14:textId="77777777" w:rsidR="007F7440" w:rsidRPr="00311E37" w:rsidRDefault="007F7440" w:rsidP="007F7440">
            <w:pPr>
              <w:spacing w:before="60" w:after="60"/>
              <w:rPr>
                <w:color w:val="595959"/>
              </w:rPr>
            </w:pPr>
          </w:p>
        </w:tc>
        <w:tc>
          <w:tcPr>
            <w:tcW w:w="1688" w:type="dxa"/>
            <w:vMerge/>
            <w:shd w:val="clear" w:color="auto" w:fill="EDEDED" w:themeFill="accent3" w:themeFillTint="33"/>
          </w:tcPr>
          <w:p w14:paraId="760FCE04"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575F6517" w14:textId="77777777" w:rsidR="007F7440" w:rsidRPr="00311E37" w:rsidRDefault="004C2F9B" w:rsidP="007F7440">
            <w:pPr>
              <w:spacing w:before="60" w:after="60"/>
              <w:rPr>
                <w:color w:val="595959"/>
              </w:rPr>
            </w:pPr>
            <w:r w:rsidRPr="00BF11FD">
              <w:rPr>
                <w:b/>
                <w:color w:val="5083C9"/>
              </w:rPr>
              <w:t>Disclosure to CMS</w:t>
            </w:r>
            <w:r w:rsidRPr="00311E37">
              <w:rPr>
                <w:b/>
                <w:color w:val="595959"/>
              </w:rPr>
              <w:t>—</w:t>
            </w:r>
            <w:r w:rsidRPr="00311E37">
              <w:rPr>
                <w:color w:val="595959"/>
              </w:rPr>
              <w:t xml:space="preserve">Plan </w:t>
            </w:r>
            <w:r w:rsidRPr="00311E37">
              <w:rPr>
                <w:color w:val="595959"/>
              </w:rPr>
              <w:t>sponsor must make on an annual basis (60 days after the beginning of the plan year) and upon any change that affects creditable coverage status (within 30 days of the change)</w:t>
            </w:r>
          </w:p>
        </w:tc>
        <w:tc>
          <w:tcPr>
            <w:tcW w:w="4455" w:type="dxa"/>
            <w:shd w:val="clear" w:color="auto" w:fill="EDEDED" w:themeFill="accent3" w:themeFillTint="33"/>
          </w:tcPr>
          <w:p w14:paraId="01B60418" w14:textId="77777777" w:rsidR="007F7440" w:rsidRPr="00311E37" w:rsidRDefault="004C2F9B" w:rsidP="007F7440">
            <w:pPr>
              <w:spacing w:before="60" w:after="60"/>
              <w:rPr>
                <w:color w:val="595959"/>
              </w:rPr>
            </w:pPr>
            <w:r w:rsidRPr="00311E37">
              <w:rPr>
                <w:color w:val="595959"/>
              </w:rPr>
              <w:t>Employers must disclose to CMS whether the coverage is creditable. An entity is r</w:t>
            </w:r>
            <w:r w:rsidRPr="00311E37">
              <w:rPr>
                <w:color w:val="595959"/>
              </w:rPr>
              <w:t xml:space="preserve">equired to provide the Disclosure Notice through completion of the </w:t>
            </w:r>
            <w:hyperlink r:id="rId41" w:history="1">
              <w:r w:rsidRPr="00311E37">
                <w:rPr>
                  <w:rStyle w:val="Hyperlink"/>
                  <w:color w:val="595959"/>
                </w:rPr>
                <w:t>Disclosure Notice form</w:t>
              </w:r>
            </w:hyperlink>
            <w:hyperlink r:id="rId42" w:history="1"/>
            <w:r w:rsidRPr="00311E37">
              <w:rPr>
                <w:color w:val="595959"/>
              </w:rPr>
              <w:t xml:space="preserve">, </w:t>
            </w:r>
            <w:hyperlink w:history="1"/>
            <w:r w:rsidRPr="00311E37">
              <w:rPr>
                <w:color w:val="595959"/>
              </w:rPr>
              <w:t>unless specifically exempt as outlined in related CMS guidance. This is the sole method for compliance with the disclosure requirement.</w:t>
            </w:r>
          </w:p>
        </w:tc>
      </w:tr>
      <w:tr w:rsidR="00960533" w14:paraId="2E84CBB7" w14:textId="77777777" w:rsidTr="00F474DA">
        <w:trPr>
          <w:trHeight w:val="1493"/>
          <w:jc w:val="center"/>
        </w:trPr>
        <w:tc>
          <w:tcPr>
            <w:tcW w:w="1732" w:type="dxa"/>
            <w:shd w:val="clear" w:color="auto" w:fill="EDEDED" w:themeFill="accent3" w:themeFillTint="33"/>
            <w:vAlign w:val="center"/>
          </w:tcPr>
          <w:p w14:paraId="0D425114" w14:textId="77777777" w:rsidR="007F7440" w:rsidRPr="00311E37" w:rsidRDefault="004C2F9B" w:rsidP="007F7440">
            <w:pPr>
              <w:spacing w:before="60" w:after="60"/>
              <w:jc w:val="center"/>
              <w:rPr>
                <w:b/>
                <w:color w:val="32607A"/>
              </w:rPr>
            </w:pPr>
            <w:r w:rsidRPr="00BF11FD">
              <w:rPr>
                <w:b/>
                <w:color w:val="5083C9"/>
              </w:rPr>
              <w:t>Medicare Part D-Retiree Drug Subsidy</w:t>
            </w:r>
          </w:p>
        </w:tc>
        <w:tc>
          <w:tcPr>
            <w:tcW w:w="1688" w:type="dxa"/>
            <w:shd w:val="clear" w:color="auto" w:fill="EDEDED" w:themeFill="accent3" w:themeFillTint="33"/>
            <w:vAlign w:val="center"/>
          </w:tcPr>
          <w:p w14:paraId="442D273C" w14:textId="77777777" w:rsidR="007F7440" w:rsidRPr="00311E37" w:rsidRDefault="004C2F9B" w:rsidP="007F7440">
            <w:pPr>
              <w:spacing w:before="60" w:after="60"/>
              <w:jc w:val="center"/>
              <w:rPr>
                <w:color w:val="595959"/>
              </w:rPr>
            </w:pPr>
            <w:r w:rsidRPr="00311E37">
              <w:rPr>
                <w:color w:val="595959"/>
              </w:rPr>
              <w:t xml:space="preserve">Employers with group health plans that cover </w:t>
            </w:r>
            <w:r w:rsidRPr="00311E37">
              <w:rPr>
                <w:color w:val="595959"/>
              </w:rPr>
              <w:t>retirees who are entitled to enroll in Part D but who elect not to do so</w:t>
            </w:r>
          </w:p>
        </w:tc>
        <w:tc>
          <w:tcPr>
            <w:tcW w:w="2835" w:type="dxa"/>
            <w:shd w:val="clear" w:color="auto" w:fill="EDEDED" w:themeFill="accent3" w:themeFillTint="33"/>
          </w:tcPr>
          <w:p w14:paraId="134700C4" w14:textId="77777777" w:rsidR="007F7440" w:rsidRPr="00311E37" w:rsidRDefault="004C2F9B" w:rsidP="007F7440">
            <w:pPr>
              <w:spacing w:before="60" w:after="60"/>
              <w:rPr>
                <w:color w:val="595959"/>
              </w:rPr>
            </w:pPr>
            <w:r w:rsidRPr="00BF11FD">
              <w:rPr>
                <w:b/>
                <w:color w:val="5083C9"/>
              </w:rPr>
              <w:t>Retiree drug subsidy application</w:t>
            </w:r>
            <w:r w:rsidRPr="00311E37">
              <w:rPr>
                <w:b/>
                <w:color w:val="595959"/>
              </w:rPr>
              <w:t>—</w:t>
            </w:r>
            <w:r w:rsidRPr="00311E37">
              <w:rPr>
                <w:color w:val="595959"/>
              </w:rPr>
              <w:t>At least 90 days before the beginning of each plan year, plan sponsors must apply for retiree drug subsidy, unless CMS approves request for extension.</w:t>
            </w:r>
          </w:p>
          <w:p w14:paraId="25F51C1F" w14:textId="77777777" w:rsidR="007F7440" w:rsidRPr="00311E37" w:rsidRDefault="007F7440" w:rsidP="007F7440">
            <w:pPr>
              <w:spacing w:before="60" w:after="60"/>
              <w:rPr>
                <w:color w:val="595959"/>
              </w:rPr>
            </w:pPr>
          </w:p>
        </w:tc>
        <w:tc>
          <w:tcPr>
            <w:tcW w:w="4455" w:type="dxa"/>
            <w:shd w:val="clear" w:color="auto" w:fill="EDEDED" w:themeFill="accent3" w:themeFillTint="33"/>
          </w:tcPr>
          <w:p w14:paraId="47449E96" w14:textId="77777777" w:rsidR="007F7440" w:rsidRPr="00311E37" w:rsidRDefault="004C2F9B" w:rsidP="007F7440">
            <w:pPr>
              <w:spacing w:before="60" w:after="60"/>
              <w:rPr>
                <w:color w:val="595959"/>
              </w:rPr>
            </w:pPr>
            <w:r w:rsidRPr="00311E37">
              <w:rPr>
                <w:color w:val="595959"/>
              </w:rPr>
              <w:t>An employer who wishes to sponsor a prescription drug plan with retiree prescription drug coverage that is at least as good as Part D coverage may apply for the retiree drug subsidy, which is exempt from federal income tax.  The subsidy is available to e</w:t>
            </w:r>
            <w:r w:rsidRPr="00311E37">
              <w:rPr>
                <w:color w:val="595959"/>
              </w:rPr>
              <w:t xml:space="preserve">mployers with group health plans that cover retirees who are entitled to enroll in Part D but who elect not to do so.  </w:t>
            </w:r>
          </w:p>
        </w:tc>
      </w:tr>
      <w:tr w:rsidR="00960533" w14:paraId="4020E5D6" w14:textId="77777777" w:rsidTr="00F474DA">
        <w:trPr>
          <w:trHeight w:val="1010"/>
          <w:jc w:val="center"/>
        </w:trPr>
        <w:tc>
          <w:tcPr>
            <w:tcW w:w="1732" w:type="dxa"/>
            <w:vMerge w:val="restart"/>
            <w:shd w:val="clear" w:color="auto" w:fill="EDEDED" w:themeFill="accent3" w:themeFillTint="33"/>
            <w:vAlign w:val="center"/>
          </w:tcPr>
          <w:p w14:paraId="3788028C" w14:textId="77777777" w:rsidR="007F7440" w:rsidRPr="00BF11FD" w:rsidRDefault="004C2F9B" w:rsidP="007F7440">
            <w:pPr>
              <w:spacing w:before="60" w:after="60"/>
              <w:jc w:val="center"/>
              <w:rPr>
                <w:b/>
                <w:color w:val="5083C9"/>
              </w:rPr>
            </w:pPr>
            <w:r w:rsidRPr="00BF11FD">
              <w:rPr>
                <w:b/>
                <w:color w:val="5083C9"/>
              </w:rPr>
              <w:t>Mental Health Parity and Addiction Equity Act (MHPAEA)</w:t>
            </w:r>
          </w:p>
          <w:p w14:paraId="77D6913E" w14:textId="77777777" w:rsidR="007F7440" w:rsidRPr="00311E37" w:rsidRDefault="007F7440" w:rsidP="007F7440">
            <w:pPr>
              <w:spacing w:before="60" w:after="60"/>
              <w:jc w:val="center"/>
              <w:rPr>
                <w:color w:val="595959"/>
              </w:rPr>
            </w:pPr>
          </w:p>
        </w:tc>
        <w:tc>
          <w:tcPr>
            <w:tcW w:w="1688" w:type="dxa"/>
            <w:vMerge w:val="restart"/>
            <w:shd w:val="clear" w:color="auto" w:fill="EDEDED" w:themeFill="accent3" w:themeFillTint="33"/>
            <w:vAlign w:val="center"/>
          </w:tcPr>
          <w:p w14:paraId="7D8EF64C" w14:textId="77777777" w:rsidR="007F7440" w:rsidRPr="00311E37" w:rsidRDefault="004C2F9B" w:rsidP="007F7440">
            <w:pPr>
              <w:spacing w:before="60" w:after="60"/>
              <w:jc w:val="center"/>
              <w:rPr>
                <w:color w:val="595959"/>
              </w:rPr>
            </w:pPr>
            <w:r w:rsidRPr="00311E37">
              <w:rPr>
                <w:color w:val="595959"/>
              </w:rPr>
              <w:t xml:space="preserve">Group health plans (of employers with over 50 employees) offering mental </w:t>
            </w:r>
            <w:r w:rsidRPr="00311E37">
              <w:rPr>
                <w:color w:val="595959"/>
              </w:rPr>
              <w:t>health and substance use disorder benefits</w:t>
            </w:r>
          </w:p>
          <w:p w14:paraId="708BCEB2" w14:textId="77777777" w:rsidR="007F7440" w:rsidRPr="00311E37" w:rsidRDefault="007F7440" w:rsidP="007F7440">
            <w:pPr>
              <w:spacing w:before="60" w:after="60"/>
              <w:jc w:val="center"/>
              <w:rPr>
                <w:color w:val="595959"/>
              </w:rPr>
            </w:pPr>
          </w:p>
          <w:p w14:paraId="3E858411" w14:textId="77777777" w:rsidR="007F7440" w:rsidRPr="00311E37" w:rsidRDefault="007F7440" w:rsidP="007F7440">
            <w:pPr>
              <w:spacing w:before="60" w:after="60"/>
              <w:jc w:val="center"/>
              <w:rPr>
                <w:color w:val="595959"/>
              </w:rPr>
            </w:pPr>
          </w:p>
        </w:tc>
        <w:tc>
          <w:tcPr>
            <w:tcW w:w="2835" w:type="dxa"/>
            <w:shd w:val="clear" w:color="auto" w:fill="EDEDED" w:themeFill="accent3" w:themeFillTint="33"/>
          </w:tcPr>
          <w:p w14:paraId="23284E54" w14:textId="77777777" w:rsidR="007F7440" w:rsidRPr="00311E37" w:rsidRDefault="004C2F9B" w:rsidP="007F7440">
            <w:pPr>
              <w:spacing w:before="60" w:after="60"/>
              <w:rPr>
                <w:color w:val="595959"/>
              </w:rPr>
            </w:pPr>
            <w:r w:rsidRPr="00BF11FD">
              <w:rPr>
                <w:b/>
                <w:color w:val="5083C9"/>
              </w:rPr>
              <w:t>Notice of cost exemption</w:t>
            </w:r>
            <w:r w:rsidRPr="00311E37">
              <w:rPr>
                <w:b/>
                <w:color w:val="595959"/>
              </w:rPr>
              <w:t>—</w:t>
            </w:r>
            <w:r w:rsidRPr="00311E37">
              <w:rPr>
                <w:color w:val="595959"/>
              </w:rPr>
              <w:t>Group health plans claiming the increased cost exemption must promptly notify the appropriate federal and state agencies, plan participants and beneficiaries.</w:t>
            </w:r>
          </w:p>
          <w:p w14:paraId="5C51B14C" w14:textId="77777777" w:rsidR="007F7440" w:rsidRPr="00311E37" w:rsidRDefault="004C2F9B" w:rsidP="007F7440">
            <w:pPr>
              <w:spacing w:before="60" w:after="60"/>
              <w:rPr>
                <w:color w:val="595959"/>
              </w:rPr>
            </w:pPr>
            <w:r w:rsidRPr="00311E37">
              <w:rPr>
                <w:color w:val="595959"/>
              </w:rPr>
              <w:t>Notice must also be provide</w:t>
            </w:r>
            <w:r w:rsidRPr="00311E37">
              <w:rPr>
                <w:color w:val="595959"/>
              </w:rPr>
              <w:t>d upon request.</w:t>
            </w:r>
          </w:p>
          <w:p w14:paraId="450BA712" w14:textId="77777777" w:rsidR="007F7440" w:rsidRPr="00311E37" w:rsidRDefault="007F7440" w:rsidP="007F7440">
            <w:pPr>
              <w:spacing w:before="60" w:after="60"/>
              <w:rPr>
                <w:color w:val="595959"/>
              </w:rPr>
            </w:pPr>
          </w:p>
          <w:p w14:paraId="6B153E0B" w14:textId="77777777" w:rsidR="007F7440" w:rsidRPr="00311E37" w:rsidRDefault="007F7440" w:rsidP="007F7440">
            <w:pPr>
              <w:spacing w:before="60" w:after="60"/>
              <w:rPr>
                <w:color w:val="595959"/>
              </w:rPr>
            </w:pPr>
          </w:p>
        </w:tc>
        <w:tc>
          <w:tcPr>
            <w:tcW w:w="4455" w:type="dxa"/>
            <w:shd w:val="clear" w:color="auto" w:fill="EDEDED" w:themeFill="accent3" w:themeFillTint="33"/>
          </w:tcPr>
          <w:p w14:paraId="28FA2A67" w14:textId="77777777" w:rsidR="007F7440" w:rsidRPr="00311E37" w:rsidRDefault="004C2F9B" w:rsidP="007F7440">
            <w:pPr>
              <w:spacing w:before="60" w:after="60"/>
              <w:rPr>
                <w:color w:val="595959"/>
              </w:rPr>
            </w:pPr>
            <w:r w:rsidRPr="00311E37">
              <w:rPr>
                <w:color w:val="595959"/>
              </w:rPr>
              <w:t>The cost exemption will apply to a group health plan if its cost increase exceeds 2 percent in the first plan year and 1 percent in a subsequent year. If the 2-percent or 1-percent increased cost is incurred, the plan is exempt for the pl</w:t>
            </w:r>
            <w:r w:rsidRPr="00311E37">
              <w:rPr>
                <w:color w:val="595959"/>
              </w:rPr>
              <w:t xml:space="preserve">an year following the year the cost was incurred. Thus, the exemption lasts one year and then the plan is required to comply again. </w:t>
            </w:r>
          </w:p>
          <w:p w14:paraId="20397561" w14:textId="77777777" w:rsidR="007F7440" w:rsidRPr="00311E37" w:rsidRDefault="004C2F9B" w:rsidP="007F7440">
            <w:pPr>
              <w:spacing w:before="60" w:after="60"/>
              <w:rPr>
                <w:color w:val="595959"/>
              </w:rPr>
            </w:pPr>
            <w:r w:rsidRPr="00311E37">
              <w:rPr>
                <w:color w:val="595959"/>
              </w:rPr>
              <w:t>A group health plan or health insurance issuer must promptly notify the Secretaries of the DOL, HHS and the Treasury, the a</w:t>
            </w:r>
            <w:r w:rsidRPr="00311E37">
              <w:rPr>
                <w:color w:val="595959"/>
              </w:rPr>
              <w:t>ppropriate state agencies, and participants and beneficiaries in the plan of such election. A notification to the Secretaries must include:</w:t>
            </w:r>
          </w:p>
          <w:p w14:paraId="5758DA69" w14:textId="77777777" w:rsidR="007F7440" w:rsidRPr="00311E37" w:rsidRDefault="004C2F9B" w:rsidP="007F7440">
            <w:pPr>
              <w:numPr>
                <w:ilvl w:val="0"/>
                <w:numId w:val="18"/>
              </w:numPr>
              <w:spacing w:before="60" w:after="60"/>
              <w:rPr>
                <w:color w:val="595959"/>
              </w:rPr>
            </w:pPr>
            <w:r w:rsidRPr="00311E37">
              <w:rPr>
                <w:color w:val="595959"/>
              </w:rPr>
              <w:t xml:space="preserve">A description of the number of covered lives under the plan (or coverage) involved at the time of the notification, and as applicable, at the time of any prior election </w:t>
            </w:r>
            <w:r w:rsidRPr="00311E37">
              <w:rPr>
                <w:color w:val="595959"/>
              </w:rPr>
              <w:lastRenderedPageBreak/>
              <w:t xml:space="preserve">of the cost-exemption by such plan (or coverage); </w:t>
            </w:r>
          </w:p>
          <w:p w14:paraId="06BFD5A0" w14:textId="77777777" w:rsidR="007F7440" w:rsidRPr="00311E37" w:rsidRDefault="004C2F9B" w:rsidP="007F7440">
            <w:pPr>
              <w:numPr>
                <w:ilvl w:val="0"/>
                <w:numId w:val="18"/>
              </w:numPr>
              <w:spacing w:before="60" w:after="60"/>
              <w:rPr>
                <w:color w:val="595959"/>
              </w:rPr>
            </w:pPr>
            <w:r w:rsidRPr="00311E37">
              <w:rPr>
                <w:color w:val="595959"/>
              </w:rPr>
              <w:t xml:space="preserve">For both the plan year upon which a </w:t>
            </w:r>
            <w:r w:rsidRPr="00311E37">
              <w:rPr>
                <w:color w:val="595959"/>
              </w:rPr>
              <w:t xml:space="preserve">cost exemption is sought and the year prior, a description of the actual total costs of coverage with respect to medical and surgical benefits and mental health and substance use disorder benefits under the plan; and </w:t>
            </w:r>
          </w:p>
          <w:p w14:paraId="087308AF" w14:textId="77777777" w:rsidR="007F7440" w:rsidRPr="00311E37" w:rsidRDefault="004C2F9B" w:rsidP="007F7440">
            <w:pPr>
              <w:numPr>
                <w:ilvl w:val="0"/>
                <w:numId w:val="18"/>
              </w:numPr>
              <w:spacing w:before="60" w:after="60"/>
              <w:rPr>
                <w:color w:val="595959"/>
              </w:rPr>
            </w:pPr>
            <w:r w:rsidRPr="00311E37">
              <w:rPr>
                <w:color w:val="595959"/>
              </w:rPr>
              <w:t>For both the plan year upon which a co</w:t>
            </w:r>
            <w:r w:rsidRPr="00311E37">
              <w:rPr>
                <w:color w:val="595959"/>
              </w:rPr>
              <w:t>st exemption is sought and the year prior, the actual total costs of coverage with respect to mental health and substance use disorder benefits under the plan.</w:t>
            </w:r>
          </w:p>
        </w:tc>
      </w:tr>
      <w:tr w:rsidR="00960533" w14:paraId="4D874915" w14:textId="77777777" w:rsidTr="00F474DA">
        <w:trPr>
          <w:trHeight w:val="1010"/>
          <w:jc w:val="center"/>
        </w:trPr>
        <w:tc>
          <w:tcPr>
            <w:tcW w:w="1732" w:type="dxa"/>
            <w:vMerge/>
            <w:vAlign w:val="center"/>
          </w:tcPr>
          <w:p w14:paraId="491E086D" w14:textId="77777777" w:rsidR="007F7440" w:rsidRPr="00311E37" w:rsidRDefault="007F7440" w:rsidP="007F7440">
            <w:pPr>
              <w:spacing w:before="60" w:after="60"/>
              <w:jc w:val="center"/>
              <w:rPr>
                <w:b/>
                <w:color w:val="32607A"/>
              </w:rPr>
            </w:pPr>
          </w:p>
        </w:tc>
        <w:tc>
          <w:tcPr>
            <w:tcW w:w="1688" w:type="dxa"/>
            <w:vMerge/>
            <w:vAlign w:val="center"/>
          </w:tcPr>
          <w:p w14:paraId="20361497" w14:textId="77777777" w:rsidR="007F7440" w:rsidRPr="00311E37" w:rsidRDefault="007F7440" w:rsidP="007F7440">
            <w:pPr>
              <w:spacing w:before="60" w:after="60"/>
              <w:jc w:val="center"/>
              <w:rPr>
                <w:color w:val="595959"/>
              </w:rPr>
            </w:pPr>
          </w:p>
        </w:tc>
        <w:tc>
          <w:tcPr>
            <w:tcW w:w="2835" w:type="dxa"/>
            <w:shd w:val="clear" w:color="auto" w:fill="EDEDED" w:themeFill="accent3" w:themeFillTint="33"/>
          </w:tcPr>
          <w:p w14:paraId="55C0BA46" w14:textId="77777777" w:rsidR="007F7440" w:rsidRPr="00273C41" w:rsidRDefault="004C2F9B" w:rsidP="007F7440">
            <w:pPr>
              <w:spacing w:before="60" w:after="60"/>
              <w:rPr>
                <w:color w:val="595959"/>
              </w:rPr>
            </w:pPr>
            <w:r w:rsidRPr="00BF11FD">
              <w:rPr>
                <w:b/>
                <w:color w:val="5083C9"/>
              </w:rPr>
              <w:t xml:space="preserve">Notice of </w:t>
            </w:r>
            <w:r w:rsidR="00BF11FD" w:rsidRPr="00BF11FD">
              <w:rPr>
                <w:b/>
                <w:color w:val="5083C9"/>
              </w:rPr>
              <w:t>criteria for medically necessary determination</w:t>
            </w:r>
            <w:r w:rsidRPr="00311E37">
              <w:rPr>
                <w:b/>
                <w:color w:val="595959"/>
              </w:rPr>
              <w:t>—</w:t>
            </w:r>
            <w:r w:rsidRPr="00311E37">
              <w:rPr>
                <w:color w:val="595959"/>
              </w:rPr>
              <w:t>Plan administrators</w:t>
            </w:r>
            <w:r>
              <w:rPr>
                <w:color w:val="595959"/>
              </w:rPr>
              <w:t xml:space="preserve"> and health insurance issuers must disclose </w:t>
            </w:r>
            <w:r w:rsidRPr="00273C41">
              <w:rPr>
                <w:color w:val="595959"/>
              </w:rPr>
              <w:t>the criteria for medically necessary</w:t>
            </w:r>
            <w:r>
              <w:rPr>
                <w:color w:val="595959"/>
              </w:rPr>
              <w:t xml:space="preserve"> </w:t>
            </w:r>
            <w:r w:rsidRPr="00273C41">
              <w:rPr>
                <w:color w:val="595959"/>
              </w:rPr>
              <w:t>determ</w:t>
            </w:r>
            <w:r>
              <w:rPr>
                <w:color w:val="595959"/>
              </w:rPr>
              <w:t xml:space="preserve">inations with respect to mental </w:t>
            </w:r>
            <w:r w:rsidRPr="00273C41">
              <w:rPr>
                <w:color w:val="595959"/>
              </w:rPr>
              <w:t xml:space="preserve">health/substance use disorder </w:t>
            </w:r>
            <w:r>
              <w:rPr>
                <w:color w:val="595959"/>
              </w:rPr>
              <w:t xml:space="preserve">(MH/SUD) </w:t>
            </w:r>
            <w:r w:rsidRPr="00273C41">
              <w:rPr>
                <w:color w:val="595959"/>
              </w:rPr>
              <w:t>benefits.</w:t>
            </w:r>
            <w:r>
              <w:rPr>
                <w:color w:val="595959"/>
              </w:rPr>
              <w:t xml:space="preserve"> </w:t>
            </w:r>
          </w:p>
        </w:tc>
        <w:tc>
          <w:tcPr>
            <w:tcW w:w="4455" w:type="dxa"/>
            <w:shd w:val="clear" w:color="auto" w:fill="EDEDED" w:themeFill="accent3" w:themeFillTint="33"/>
          </w:tcPr>
          <w:p w14:paraId="5DB6EBF7" w14:textId="77777777" w:rsidR="007F7440" w:rsidRPr="00311E37" w:rsidRDefault="004C2F9B" w:rsidP="007F7440">
            <w:pPr>
              <w:spacing w:before="60" w:after="60"/>
              <w:rPr>
                <w:color w:val="595959"/>
              </w:rPr>
            </w:pPr>
            <w:r>
              <w:rPr>
                <w:color w:val="595959"/>
              </w:rPr>
              <w:t>T</w:t>
            </w:r>
            <w:r w:rsidRPr="00273C41">
              <w:rPr>
                <w:color w:val="595959"/>
              </w:rPr>
              <w:t>he plan administrator or the health insurance issuer must disclose the criteria for me</w:t>
            </w:r>
            <w:r w:rsidRPr="00273C41">
              <w:rPr>
                <w:color w:val="595959"/>
              </w:rPr>
              <w:t>dical necessity d</w:t>
            </w:r>
            <w:r>
              <w:rPr>
                <w:color w:val="595959"/>
              </w:rPr>
              <w:t>eterminations with respect to MH/SUD</w:t>
            </w:r>
            <w:r w:rsidRPr="00273C41">
              <w:rPr>
                <w:color w:val="595959"/>
              </w:rPr>
              <w:t xml:space="preserve"> benefits to any current or potential participant, beneficiary or contracting provider upon request and the reason for any denial of reimbursement or payment for services with respect to MH/SUD benefits </w:t>
            </w:r>
            <w:r w:rsidRPr="00273C41">
              <w:rPr>
                <w:color w:val="595959"/>
              </w:rPr>
              <w:t>to the participant or beneficiary.</w:t>
            </w:r>
          </w:p>
        </w:tc>
      </w:tr>
      <w:tr w:rsidR="00960533" w14:paraId="39A7AC0A" w14:textId="77777777" w:rsidTr="00F474DA">
        <w:trPr>
          <w:trHeight w:val="750"/>
          <w:jc w:val="center"/>
        </w:trPr>
        <w:tc>
          <w:tcPr>
            <w:tcW w:w="1732" w:type="dxa"/>
            <w:shd w:val="clear" w:color="auto" w:fill="EDEDED" w:themeFill="accent3" w:themeFillTint="33"/>
            <w:vAlign w:val="center"/>
          </w:tcPr>
          <w:p w14:paraId="5A0B891D" w14:textId="77777777" w:rsidR="007F7440" w:rsidRPr="00311E37" w:rsidRDefault="004C2F9B" w:rsidP="007F7440">
            <w:pPr>
              <w:spacing w:before="60" w:after="60"/>
              <w:jc w:val="center"/>
              <w:rPr>
                <w:b/>
                <w:color w:val="32607A"/>
              </w:rPr>
            </w:pPr>
            <w:r w:rsidRPr="00BF11FD">
              <w:rPr>
                <w:b/>
                <w:color w:val="5083C9"/>
              </w:rPr>
              <w:t>Michelle’s Law</w:t>
            </w:r>
          </w:p>
        </w:tc>
        <w:tc>
          <w:tcPr>
            <w:tcW w:w="1688" w:type="dxa"/>
            <w:shd w:val="clear" w:color="auto" w:fill="EDEDED" w:themeFill="accent3" w:themeFillTint="33"/>
            <w:vAlign w:val="center"/>
          </w:tcPr>
          <w:p w14:paraId="0797F940" w14:textId="77777777" w:rsidR="007F7440" w:rsidRPr="00311E37" w:rsidRDefault="004C2F9B" w:rsidP="007F7440">
            <w:pPr>
              <w:spacing w:before="60" w:after="60"/>
              <w:jc w:val="center"/>
              <w:rPr>
                <w:color w:val="595959"/>
              </w:rPr>
            </w:pPr>
            <w:r w:rsidRPr="00311E37">
              <w:rPr>
                <w:color w:val="595959"/>
              </w:rPr>
              <w:t>Employer-sponsored group health plans</w:t>
            </w:r>
          </w:p>
        </w:tc>
        <w:tc>
          <w:tcPr>
            <w:tcW w:w="2835" w:type="dxa"/>
            <w:shd w:val="clear" w:color="auto" w:fill="EDEDED" w:themeFill="accent3" w:themeFillTint="33"/>
          </w:tcPr>
          <w:p w14:paraId="6C41CC50" w14:textId="77777777" w:rsidR="007F7440" w:rsidRPr="00311E37" w:rsidRDefault="004C2F9B" w:rsidP="007F7440">
            <w:pPr>
              <w:spacing w:before="60" w:after="60"/>
              <w:rPr>
                <w:color w:val="595959"/>
              </w:rPr>
            </w:pPr>
            <w:r w:rsidRPr="00BF11FD">
              <w:rPr>
                <w:b/>
                <w:color w:val="5083C9"/>
              </w:rPr>
              <w:t xml:space="preserve">Michelle’s </w:t>
            </w:r>
            <w:r w:rsidR="00BF11FD" w:rsidRPr="00BF11FD">
              <w:rPr>
                <w:b/>
                <w:color w:val="5083C9"/>
              </w:rPr>
              <w:t>law notice</w:t>
            </w:r>
            <w:r w:rsidRPr="00311E37">
              <w:rPr>
                <w:b/>
                <w:color w:val="595959"/>
              </w:rPr>
              <w:t>—</w:t>
            </w:r>
            <w:r w:rsidRPr="00311E37">
              <w:rPr>
                <w:color w:val="595959"/>
              </w:rPr>
              <w:t xml:space="preserve">Plan administrators and group health plan insurers must include with any notice regarding a requirement for certification of student </w:t>
            </w:r>
            <w:r w:rsidRPr="00311E37">
              <w:rPr>
                <w:color w:val="595959"/>
              </w:rPr>
              <w:t>status.*</w:t>
            </w:r>
          </w:p>
        </w:tc>
        <w:tc>
          <w:tcPr>
            <w:tcW w:w="4455" w:type="dxa"/>
            <w:shd w:val="clear" w:color="auto" w:fill="EDEDED" w:themeFill="accent3" w:themeFillTint="33"/>
          </w:tcPr>
          <w:p w14:paraId="3347FE84" w14:textId="77777777" w:rsidR="007F7440" w:rsidRPr="00311E37" w:rsidRDefault="004C2F9B" w:rsidP="007F7440">
            <w:pPr>
              <w:spacing w:before="60" w:after="60"/>
              <w:rPr>
                <w:color w:val="595959"/>
              </w:rPr>
            </w:pPr>
            <w:r w:rsidRPr="00311E37">
              <w:rPr>
                <w:color w:val="595959"/>
              </w:rPr>
              <w:t>If a group health plan (or insurance issuer providing coverage for the plan) requires a certification of student status for coverage under the plan, it must send a Michelle’s Law Notice along with any notice regarding the certification requirement</w:t>
            </w:r>
            <w:r w:rsidRPr="00311E37">
              <w:rPr>
                <w:color w:val="595959"/>
              </w:rPr>
              <w:t xml:space="preserve">. The Michelle’s Law Notice must be written in language understandable to a typical plan participant and must describe the terms of the continuation coverage available under Michelle’s Law during medically necessary leaves of absence.  </w:t>
            </w:r>
          </w:p>
          <w:p w14:paraId="6BFBE5B1" w14:textId="77777777" w:rsidR="007F7440" w:rsidRPr="00311E37" w:rsidRDefault="004C2F9B" w:rsidP="007F7440">
            <w:pPr>
              <w:spacing w:before="60" w:after="60"/>
              <w:rPr>
                <w:color w:val="595959"/>
              </w:rPr>
            </w:pPr>
            <w:r w:rsidRPr="00311E37">
              <w:rPr>
                <w:color w:val="595959"/>
              </w:rPr>
              <w:lastRenderedPageBreak/>
              <w:t>*Under the ACA, gro</w:t>
            </w:r>
            <w:r w:rsidRPr="00311E37">
              <w:rPr>
                <w:color w:val="595959"/>
              </w:rPr>
              <w:t xml:space="preserve">up health plans are required to cover dependent children up to age 26, regardless of student status. The ACA’s coverage mandate for adult children limits the impact of Michelle’s Law. However, group health plans that extend coverage past the age of 26 for </w:t>
            </w:r>
            <w:r w:rsidRPr="00311E37">
              <w:rPr>
                <w:color w:val="595959"/>
              </w:rPr>
              <w:t xml:space="preserve">adult children who are students will still be subject to the requirements of Michelle’s Law. </w:t>
            </w:r>
          </w:p>
        </w:tc>
      </w:tr>
      <w:tr w:rsidR="00960533" w14:paraId="2A967C52" w14:textId="77777777" w:rsidTr="00F474DA">
        <w:trPr>
          <w:trHeight w:val="1538"/>
          <w:jc w:val="center"/>
        </w:trPr>
        <w:tc>
          <w:tcPr>
            <w:tcW w:w="1732" w:type="dxa"/>
            <w:shd w:val="clear" w:color="auto" w:fill="EDEDED" w:themeFill="accent3" w:themeFillTint="33"/>
            <w:vAlign w:val="center"/>
          </w:tcPr>
          <w:p w14:paraId="707FD578" w14:textId="77777777" w:rsidR="007F7440" w:rsidRPr="00BF11FD" w:rsidRDefault="004C2F9B" w:rsidP="007F7440">
            <w:pPr>
              <w:spacing w:before="60" w:after="60"/>
              <w:jc w:val="center"/>
              <w:rPr>
                <w:b/>
                <w:color w:val="5083C9"/>
              </w:rPr>
            </w:pPr>
            <w:r w:rsidRPr="00BF11FD">
              <w:rPr>
                <w:b/>
                <w:color w:val="5083C9"/>
              </w:rPr>
              <w:lastRenderedPageBreak/>
              <w:t>Newborns’ and Mothers’ Health Protection Act</w:t>
            </w:r>
          </w:p>
          <w:p w14:paraId="732D54A0" w14:textId="77777777" w:rsidR="007F7440" w:rsidRPr="00311E37" w:rsidRDefault="004C2F9B" w:rsidP="007F7440">
            <w:pPr>
              <w:spacing w:before="60" w:after="60"/>
              <w:jc w:val="center"/>
              <w:rPr>
                <w:b/>
                <w:color w:val="595959"/>
              </w:rPr>
            </w:pPr>
            <w:r w:rsidRPr="00BF11FD">
              <w:rPr>
                <w:b/>
                <w:color w:val="5083C9"/>
              </w:rPr>
              <w:t>(NMHPA)</w:t>
            </w:r>
          </w:p>
        </w:tc>
        <w:tc>
          <w:tcPr>
            <w:tcW w:w="1688" w:type="dxa"/>
            <w:shd w:val="clear" w:color="auto" w:fill="EDEDED" w:themeFill="accent3" w:themeFillTint="33"/>
            <w:vAlign w:val="center"/>
          </w:tcPr>
          <w:p w14:paraId="2D147E07" w14:textId="77777777" w:rsidR="007F7440" w:rsidRPr="00311E37" w:rsidRDefault="004C2F9B" w:rsidP="007F7440">
            <w:pPr>
              <w:spacing w:before="60" w:after="60"/>
              <w:jc w:val="center"/>
              <w:rPr>
                <w:color w:val="595959"/>
              </w:rPr>
            </w:pPr>
            <w:r w:rsidRPr="00311E37">
              <w:rPr>
                <w:color w:val="595959"/>
              </w:rPr>
              <w:t>Group health plans that provide maternity or newborn infant coverage</w:t>
            </w:r>
          </w:p>
        </w:tc>
        <w:tc>
          <w:tcPr>
            <w:tcW w:w="2835" w:type="dxa"/>
            <w:shd w:val="clear" w:color="auto" w:fill="EDEDED" w:themeFill="accent3" w:themeFillTint="33"/>
          </w:tcPr>
          <w:p w14:paraId="0633AEC9" w14:textId="77777777" w:rsidR="007F7440" w:rsidRPr="00311E37" w:rsidRDefault="004C2F9B" w:rsidP="007F7440">
            <w:pPr>
              <w:spacing w:before="60" w:after="60"/>
              <w:rPr>
                <w:color w:val="595959"/>
              </w:rPr>
            </w:pPr>
            <w:r w:rsidRPr="00BF11FD">
              <w:rPr>
                <w:b/>
                <w:color w:val="5083C9"/>
              </w:rPr>
              <w:t xml:space="preserve">NMHPA </w:t>
            </w:r>
            <w:r w:rsidR="00BF11FD">
              <w:rPr>
                <w:b/>
                <w:color w:val="5083C9"/>
              </w:rPr>
              <w:t>n</w:t>
            </w:r>
            <w:r w:rsidRPr="00BF11FD">
              <w:rPr>
                <w:b/>
                <w:color w:val="5083C9"/>
              </w:rPr>
              <w:t>otice</w:t>
            </w:r>
            <w:r w:rsidRPr="00311E37">
              <w:rPr>
                <w:b/>
                <w:color w:val="595959"/>
              </w:rPr>
              <w:t>—</w:t>
            </w:r>
            <w:r w:rsidRPr="00311E37">
              <w:rPr>
                <w:color w:val="595959"/>
              </w:rPr>
              <w:t xml:space="preserve">Plan </w:t>
            </w:r>
            <w:r w:rsidRPr="00311E37">
              <w:rPr>
                <w:color w:val="595959"/>
              </w:rPr>
              <w:t>administrators must include a statement within the SPD (or SMM) timeframe.</w:t>
            </w:r>
          </w:p>
        </w:tc>
        <w:tc>
          <w:tcPr>
            <w:tcW w:w="4455" w:type="dxa"/>
            <w:shd w:val="clear" w:color="auto" w:fill="EDEDED" w:themeFill="accent3" w:themeFillTint="33"/>
          </w:tcPr>
          <w:p w14:paraId="07C4F924" w14:textId="77777777" w:rsidR="007F7440" w:rsidRPr="00311E37" w:rsidRDefault="004C2F9B" w:rsidP="007F7440">
            <w:pPr>
              <w:spacing w:before="60" w:after="60"/>
              <w:rPr>
                <w:color w:val="595959"/>
              </w:rPr>
            </w:pPr>
            <w:r w:rsidRPr="00311E37">
              <w:rPr>
                <w:color w:val="595959"/>
              </w:rPr>
              <w:t>The plan’s SPD must include a statement describing any requirements under federal or state law applicable to the plan, and any health insurance coverage offered under the plan, rela</w:t>
            </w:r>
            <w:r w:rsidRPr="00311E37">
              <w:rPr>
                <w:color w:val="595959"/>
              </w:rPr>
              <w:t xml:space="preserve">ting to any hospital length of stay in connection with childbirth for a mother or newborn child.  If the federal law applies in some areas in which the plan operates and state law applies in other areas, the SPD should describe the different areas and the </w:t>
            </w:r>
            <w:r w:rsidRPr="00311E37">
              <w:rPr>
                <w:color w:val="595959"/>
              </w:rPr>
              <w:t>federal or state requirements applicable in each.</w:t>
            </w:r>
          </w:p>
        </w:tc>
      </w:tr>
      <w:tr w:rsidR="00960533" w14:paraId="62E33FBD" w14:textId="77777777" w:rsidTr="00F474DA">
        <w:trPr>
          <w:trHeight w:val="346"/>
          <w:jc w:val="center"/>
        </w:trPr>
        <w:tc>
          <w:tcPr>
            <w:tcW w:w="1732" w:type="dxa"/>
            <w:vMerge w:val="restart"/>
            <w:shd w:val="clear" w:color="auto" w:fill="EDEDED" w:themeFill="accent3" w:themeFillTint="33"/>
            <w:vAlign w:val="center"/>
          </w:tcPr>
          <w:p w14:paraId="6A2C3000" w14:textId="77777777" w:rsidR="007F7440" w:rsidRPr="00311E37" w:rsidRDefault="004C2F9B" w:rsidP="007F7440">
            <w:pPr>
              <w:spacing w:before="60" w:after="60"/>
              <w:jc w:val="center"/>
              <w:rPr>
                <w:b/>
                <w:color w:val="32607A"/>
              </w:rPr>
            </w:pPr>
            <w:r w:rsidRPr="00BF11FD">
              <w:rPr>
                <w:b/>
                <w:color w:val="5083C9"/>
              </w:rPr>
              <w:t>Qualified Medical Child Support Orders</w:t>
            </w:r>
          </w:p>
        </w:tc>
        <w:tc>
          <w:tcPr>
            <w:tcW w:w="1688" w:type="dxa"/>
            <w:vMerge w:val="restart"/>
            <w:shd w:val="clear" w:color="auto" w:fill="EDEDED" w:themeFill="accent3" w:themeFillTint="33"/>
            <w:vAlign w:val="center"/>
          </w:tcPr>
          <w:p w14:paraId="3C3A6484" w14:textId="77777777" w:rsidR="007F7440" w:rsidRPr="00311E37" w:rsidRDefault="004C2F9B" w:rsidP="007F7440">
            <w:pPr>
              <w:spacing w:before="60" w:after="60"/>
              <w:jc w:val="center"/>
              <w:rPr>
                <w:color w:val="595959"/>
              </w:rPr>
            </w:pPr>
            <w:r>
              <w:rPr>
                <w:color w:val="595959"/>
              </w:rPr>
              <w:t>Plan administrators</w:t>
            </w:r>
            <w:r w:rsidRPr="00311E37">
              <w:rPr>
                <w:color w:val="595959"/>
              </w:rPr>
              <w:t xml:space="preserve"> of group health plans and state child support enforcement agencies</w:t>
            </w:r>
          </w:p>
          <w:p w14:paraId="272EE0BD" w14:textId="77777777" w:rsidR="007F7440" w:rsidRPr="00311E37" w:rsidRDefault="007F7440" w:rsidP="007F7440">
            <w:pPr>
              <w:spacing w:before="60" w:after="60"/>
              <w:jc w:val="center"/>
              <w:rPr>
                <w:color w:val="595959"/>
              </w:rPr>
            </w:pPr>
          </w:p>
          <w:p w14:paraId="4C7082C2" w14:textId="77777777" w:rsidR="007F7440" w:rsidRPr="00311E37" w:rsidRDefault="007F7440" w:rsidP="007F7440">
            <w:pPr>
              <w:spacing w:before="60" w:after="60"/>
              <w:jc w:val="center"/>
              <w:rPr>
                <w:color w:val="595959"/>
              </w:rPr>
            </w:pPr>
          </w:p>
        </w:tc>
        <w:tc>
          <w:tcPr>
            <w:tcW w:w="2835" w:type="dxa"/>
            <w:shd w:val="clear" w:color="auto" w:fill="EDEDED" w:themeFill="accent3" w:themeFillTint="33"/>
          </w:tcPr>
          <w:p w14:paraId="13552CFD" w14:textId="77777777" w:rsidR="007F7440" w:rsidRPr="00311E37" w:rsidRDefault="004C2F9B" w:rsidP="007F7440">
            <w:pPr>
              <w:spacing w:before="60" w:after="60"/>
              <w:rPr>
                <w:color w:val="595959"/>
              </w:rPr>
            </w:pPr>
            <w:r w:rsidRPr="00BF11FD">
              <w:rPr>
                <w:b/>
                <w:color w:val="5083C9"/>
              </w:rPr>
              <w:t>Medical child support order notice</w:t>
            </w:r>
            <w:r w:rsidRPr="00311E37">
              <w:rPr>
                <w:color w:val="595959"/>
              </w:rPr>
              <w:t xml:space="preserve">—Upon receipt of medical child </w:t>
            </w:r>
            <w:r w:rsidRPr="00311E37">
              <w:rPr>
                <w:color w:val="595959"/>
              </w:rPr>
              <w:t>support order, plan administrator must promptly issue notice, including plan’s procedures for determining its qualified status. Within a reasonable time after its receipt, plan administrator must also issue separate notice as to whether the medical child s</w:t>
            </w:r>
            <w:r w:rsidRPr="00311E37">
              <w:rPr>
                <w:color w:val="595959"/>
              </w:rPr>
              <w:t>upport order is qualified.</w:t>
            </w:r>
          </w:p>
        </w:tc>
        <w:tc>
          <w:tcPr>
            <w:tcW w:w="4455" w:type="dxa"/>
            <w:shd w:val="clear" w:color="auto" w:fill="EDEDED" w:themeFill="accent3" w:themeFillTint="33"/>
          </w:tcPr>
          <w:p w14:paraId="45AB9796" w14:textId="77777777" w:rsidR="007F7440" w:rsidRPr="00311E37" w:rsidRDefault="004C2F9B" w:rsidP="007F7440">
            <w:pPr>
              <w:spacing w:before="60" w:after="60"/>
              <w:rPr>
                <w:color w:val="595959"/>
              </w:rPr>
            </w:pPr>
            <w:r w:rsidRPr="00311E37">
              <w:rPr>
                <w:color w:val="595959"/>
              </w:rPr>
              <w:t>This is a notification from the plan administrator regarding receipt and qualification determination on a medical child support order directing the plan to provide health insurance coverage to a participant’s noncustodial childre</w:t>
            </w:r>
            <w:r w:rsidRPr="00311E37">
              <w:rPr>
                <w:color w:val="595959"/>
              </w:rPr>
              <w:t>n.</w:t>
            </w:r>
          </w:p>
        </w:tc>
      </w:tr>
      <w:tr w:rsidR="00960533" w14:paraId="101A187D" w14:textId="77777777" w:rsidTr="00F474DA">
        <w:trPr>
          <w:jc w:val="center"/>
        </w:trPr>
        <w:tc>
          <w:tcPr>
            <w:tcW w:w="1732" w:type="dxa"/>
            <w:vMerge/>
            <w:shd w:val="clear" w:color="auto" w:fill="EDEDED" w:themeFill="accent3" w:themeFillTint="33"/>
          </w:tcPr>
          <w:p w14:paraId="4311253B" w14:textId="77777777" w:rsidR="007F7440" w:rsidRPr="00311E37" w:rsidRDefault="007F7440" w:rsidP="007F7440">
            <w:pPr>
              <w:spacing w:before="60" w:after="60"/>
              <w:rPr>
                <w:color w:val="595959"/>
              </w:rPr>
            </w:pPr>
          </w:p>
        </w:tc>
        <w:tc>
          <w:tcPr>
            <w:tcW w:w="1688" w:type="dxa"/>
            <w:vMerge/>
            <w:shd w:val="clear" w:color="auto" w:fill="EDEDED" w:themeFill="accent3" w:themeFillTint="33"/>
          </w:tcPr>
          <w:p w14:paraId="03CE0DAC" w14:textId="77777777" w:rsidR="007F7440" w:rsidRPr="00311E37" w:rsidRDefault="007F7440" w:rsidP="007F7440">
            <w:pPr>
              <w:spacing w:before="60" w:after="60"/>
              <w:rPr>
                <w:color w:val="595959"/>
              </w:rPr>
            </w:pPr>
          </w:p>
        </w:tc>
        <w:tc>
          <w:tcPr>
            <w:tcW w:w="2835" w:type="dxa"/>
            <w:shd w:val="clear" w:color="auto" w:fill="EDEDED" w:themeFill="accent3" w:themeFillTint="33"/>
          </w:tcPr>
          <w:p w14:paraId="12EF2CAB" w14:textId="77777777" w:rsidR="007F7440" w:rsidRPr="00311E37" w:rsidRDefault="004C2F9B" w:rsidP="007F7440">
            <w:pPr>
              <w:spacing w:before="60" w:after="60"/>
              <w:rPr>
                <w:color w:val="595959"/>
              </w:rPr>
            </w:pPr>
            <w:r w:rsidRPr="00BF11FD">
              <w:rPr>
                <w:b/>
                <w:color w:val="5083C9"/>
              </w:rPr>
              <w:t xml:space="preserve">National </w:t>
            </w:r>
            <w:r w:rsidR="00BF11FD" w:rsidRPr="00BF11FD">
              <w:rPr>
                <w:b/>
                <w:color w:val="5083C9"/>
              </w:rPr>
              <w:t xml:space="preserve">medical support </w:t>
            </w:r>
            <w:r w:rsidRPr="00BF11FD">
              <w:rPr>
                <w:b/>
                <w:color w:val="5083C9"/>
              </w:rPr>
              <w:t>notice</w:t>
            </w:r>
            <w:r w:rsidRPr="00311E37">
              <w:rPr>
                <w:color w:val="595959"/>
              </w:rPr>
              <w:t xml:space="preserve">—Within 20 days after the date of notice or sooner, if reasonable, employer must either send Part A to State agency, or Part B to plan </w:t>
            </w:r>
            <w:r w:rsidRPr="00311E37">
              <w:rPr>
                <w:color w:val="595959"/>
              </w:rPr>
              <w:lastRenderedPageBreak/>
              <w:t>administrator.  Plan administrator must promptly notify affected persons of receipt of notice and procedures for determin</w:t>
            </w:r>
            <w:r w:rsidRPr="00311E37">
              <w:rPr>
                <w:color w:val="595959"/>
              </w:rPr>
              <w:t>ing its qualified status.  Plan administrator must within 40-business days after its date or sooner, if reasonable, complete and return Part B to State agency and must also provide required information to affected persons.  Under certain circumstances, emp</w:t>
            </w:r>
            <w:r w:rsidRPr="00311E37">
              <w:rPr>
                <w:color w:val="595959"/>
              </w:rPr>
              <w:t>loyer may be required to send Part A to State agency after plan administrator has processed Part B.</w:t>
            </w:r>
          </w:p>
        </w:tc>
        <w:tc>
          <w:tcPr>
            <w:tcW w:w="4455" w:type="dxa"/>
            <w:shd w:val="clear" w:color="auto" w:fill="EDEDED" w:themeFill="accent3" w:themeFillTint="33"/>
          </w:tcPr>
          <w:p w14:paraId="7C9163E6" w14:textId="77777777" w:rsidR="007F7440" w:rsidRPr="00311E37" w:rsidRDefault="004C2F9B" w:rsidP="007F7440">
            <w:pPr>
              <w:spacing w:before="60" w:after="60"/>
              <w:rPr>
                <w:color w:val="595959"/>
              </w:rPr>
            </w:pPr>
            <w:r w:rsidRPr="00311E37">
              <w:rPr>
                <w:color w:val="595959"/>
              </w:rPr>
              <w:lastRenderedPageBreak/>
              <w:t>Notice used by State agency responsible for enforcing health care coverage provisions in a medical child support order. Depending upon certain conditions, e</w:t>
            </w:r>
            <w:r w:rsidRPr="00311E37">
              <w:rPr>
                <w:color w:val="595959"/>
              </w:rPr>
              <w:t xml:space="preserve">mployer must complete and return Part A of the National Medical Support notice to the State agency or transfer </w:t>
            </w:r>
            <w:r w:rsidRPr="00311E37">
              <w:rPr>
                <w:color w:val="595959"/>
              </w:rPr>
              <w:lastRenderedPageBreak/>
              <w:t>Part B of the notice to the plan administrator for a determination on whether the notice is a qualified medical child support order.</w:t>
            </w:r>
          </w:p>
          <w:p w14:paraId="70B26F34" w14:textId="77777777" w:rsidR="007F7440" w:rsidRPr="00311E37" w:rsidRDefault="007F7440" w:rsidP="007F7440">
            <w:pPr>
              <w:spacing w:before="60" w:after="60"/>
              <w:rPr>
                <w:color w:val="595959"/>
              </w:rPr>
            </w:pPr>
          </w:p>
          <w:p w14:paraId="08611973" w14:textId="77777777" w:rsidR="007F7440" w:rsidRPr="00311E37" w:rsidRDefault="007F7440" w:rsidP="007F7440">
            <w:pPr>
              <w:spacing w:before="60" w:after="60"/>
              <w:rPr>
                <w:color w:val="595959"/>
              </w:rPr>
            </w:pPr>
          </w:p>
        </w:tc>
      </w:tr>
      <w:tr w:rsidR="00960533" w14:paraId="3052AD1E" w14:textId="77777777" w:rsidTr="00F474DA">
        <w:trPr>
          <w:jc w:val="center"/>
        </w:trPr>
        <w:tc>
          <w:tcPr>
            <w:tcW w:w="1732" w:type="dxa"/>
            <w:shd w:val="clear" w:color="auto" w:fill="EDEDED" w:themeFill="accent3" w:themeFillTint="33"/>
            <w:vAlign w:val="center"/>
          </w:tcPr>
          <w:p w14:paraId="542A205E" w14:textId="77777777" w:rsidR="007F7440" w:rsidRPr="00BF11FD" w:rsidRDefault="004C2F9B" w:rsidP="007F7440">
            <w:pPr>
              <w:spacing w:before="60" w:after="60"/>
              <w:jc w:val="center"/>
              <w:rPr>
                <w:b/>
                <w:color w:val="5083C9"/>
              </w:rPr>
            </w:pPr>
            <w:r w:rsidRPr="00BF11FD">
              <w:rPr>
                <w:b/>
                <w:color w:val="5083C9"/>
              </w:rPr>
              <w:lastRenderedPageBreak/>
              <w:t>Qualified Small Employer HRA (QSEHRA)</w:t>
            </w:r>
          </w:p>
          <w:p w14:paraId="6F288F63" w14:textId="77777777" w:rsidR="007F7440" w:rsidRPr="00311E37" w:rsidRDefault="007F7440" w:rsidP="007F7440">
            <w:pPr>
              <w:spacing w:before="60" w:after="60"/>
              <w:jc w:val="center"/>
              <w:rPr>
                <w:b/>
                <w:color w:val="32607A"/>
              </w:rPr>
            </w:pPr>
          </w:p>
        </w:tc>
        <w:tc>
          <w:tcPr>
            <w:tcW w:w="1688" w:type="dxa"/>
            <w:shd w:val="clear" w:color="auto" w:fill="EDEDED" w:themeFill="accent3" w:themeFillTint="33"/>
            <w:vAlign w:val="center"/>
          </w:tcPr>
          <w:p w14:paraId="0211AF9F" w14:textId="77777777" w:rsidR="007F7440" w:rsidRPr="00311E37" w:rsidRDefault="004C2F9B" w:rsidP="007F7440">
            <w:pPr>
              <w:spacing w:before="60" w:after="60"/>
              <w:jc w:val="center"/>
              <w:rPr>
                <w:color w:val="595959"/>
              </w:rPr>
            </w:pPr>
            <w:r>
              <w:rPr>
                <w:color w:val="595959"/>
              </w:rPr>
              <w:t>Non-ALEs that do not maintain a group health plan for their employees</w:t>
            </w:r>
          </w:p>
        </w:tc>
        <w:tc>
          <w:tcPr>
            <w:tcW w:w="2835" w:type="dxa"/>
            <w:shd w:val="clear" w:color="auto" w:fill="EDEDED" w:themeFill="accent3" w:themeFillTint="33"/>
          </w:tcPr>
          <w:p w14:paraId="7B8B148A" w14:textId="77777777" w:rsidR="007F7440" w:rsidRPr="0049027B" w:rsidRDefault="004C2F9B" w:rsidP="007F7440">
            <w:pPr>
              <w:spacing w:before="60" w:after="60"/>
              <w:rPr>
                <w:color w:val="595959"/>
              </w:rPr>
            </w:pPr>
            <w:r w:rsidRPr="00BF11FD">
              <w:rPr>
                <w:b/>
                <w:color w:val="5083C9"/>
              </w:rPr>
              <w:t xml:space="preserve">QSEHRA </w:t>
            </w:r>
            <w:r w:rsidR="00BF11FD" w:rsidRPr="00BF11FD">
              <w:rPr>
                <w:b/>
                <w:color w:val="5083C9"/>
              </w:rPr>
              <w:t>n</w:t>
            </w:r>
            <w:r w:rsidRPr="00BF11FD">
              <w:rPr>
                <w:b/>
                <w:color w:val="5083C9"/>
              </w:rPr>
              <w:t>otice</w:t>
            </w:r>
            <w:r>
              <w:rPr>
                <w:b/>
                <w:color w:val="BE5A1C"/>
              </w:rPr>
              <w:t>—</w:t>
            </w:r>
            <w:r w:rsidRPr="00DA5B1C">
              <w:rPr>
                <w:color w:val="595959"/>
              </w:rPr>
              <w:t>An employer funding a QSEHRA for any year must provide a written notice to each eligible employee. This notice must be provided withi</w:t>
            </w:r>
            <w:r w:rsidRPr="00DA5B1C">
              <w:rPr>
                <w:color w:val="595959"/>
              </w:rPr>
              <w:t xml:space="preserve">n </w:t>
            </w:r>
            <w:r w:rsidRPr="00BF11FD">
              <w:rPr>
                <w:color w:val="595959"/>
              </w:rPr>
              <w:t>90 days</w:t>
            </w:r>
            <w:r w:rsidRPr="00DA5B1C">
              <w:rPr>
                <w:color w:val="595959"/>
              </w:rPr>
              <w:t xml:space="preserve"> of the beginning of the year. For employees who become eligible to participate in the QSEHRA during the year, the notice must be provided by the date on which the employee becomes eligible to participate.</w:t>
            </w:r>
          </w:p>
        </w:tc>
        <w:tc>
          <w:tcPr>
            <w:tcW w:w="4455" w:type="dxa"/>
            <w:shd w:val="clear" w:color="auto" w:fill="EDEDED" w:themeFill="accent3" w:themeFillTint="33"/>
          </w:tcPr>
          <w:p w14:paraId="219FF1AA" w14:textId="77777777" w:rsidR="007F7440" w:rsidRPr="00E1422E" w:rsidRDefault="004C2F9B" w:rsidP="007F7440">
            <w:pPr>
              <w:spacing w:before="60" w:after="60" w:line="240" w:lineRule="auto"/>
              <w:rPr>
                <w:color w:val="595959"/>
              </w:rPr>
            </w:pPr>
            <w:r w:rsidRPr="00E1422E">
              <w:rPr>
                <w:color w:val="595959"/>
              </w:rPr>
              <w:t>The notice must include the following inf</w:t>
            </w:r>
            <w:r w:rsidRPr="00E1422E">
              <w:rPr>
                <w:color w:val="595959"/>
              </w:rPr>
              <w:t xml:space="preserve">ormation: </w:t>
            </w:r>
          </w:p>
          <w:p w14:paraId="1006D729" w14:textId="77777777" w:rsidR="007F7440" w:rsidRDefault="004C2F9B" w:rsidP="007F7440">
            <w:pPr>
              <w:pStyle w:val="Bullets"/>
              <w:numPr>
                <w:ilvl w:val="0"/>
                <w:numId w:val="21"/>
              </w:numPr>
              <w:spacing w:before="60" w:after="60" w:line="240" w:lineRule="auto"/>
              <w:ind w:left="252" w:hanging="252"/>
              <w:jc w:val="left"/>
            </w:pPr>
            <w:r w:rsidRPr="00E1422E">
              <w:t xml:space="preserve">The employee’s maximum benefit under the QSEHRA for the year; </w:t>
            </w:r>
          </w:p>
          <w:p w14:paraId="7178EF8C" w14:textId="77777777" w:rsidR="007F7440" w:rsidRDefault="004C2F9B" w:rsidP="007F7440">
            <w:pPr>
              <w:pStyle w:val="Bullets"/>
              <w:numPr>
                <w:ilvl w:val="0"/>
                <w:numId w:val="21"/>
              </w:numPr>
              <w:spacing w:before="60" w:after="60" w:line="240" w:lineRule="auto"/>
              <w:ind w:left="252" w:hanging="252"/>
              <w:jc w:val="left"/>
            </w:pPr>
            <w:r w:rsidRPr="00E1422E">
              <w:t xml:space="preserve">A statement that, if the employee is applying for advance payment of the premium assistance tax credit, the employee should provide the Exchange with information about the QSEHRA’s maximum benefit; and </w:t>
            </w:r>
          </w:p>
          <w:p w14:paraId="478ABBC7" w14:textId="77777777" w:rsidR="007F7440" w:rsidRPr="00E1422E" w:rsidRDefault="004C2F9B" w:rsidP="007F7440">
            <w:pPr>
              <w:pStyle w:val="Bullets"/>
              <w:numPr>
                <w:ilvl w:val="0"/>
                <w:numId w:val="21"/>
              </w:numPr>
              <w:spacing w:before="60" w:after="60" w:line="240" w:lineRule="auto"/>
              <w:ind w:left="252" w:hanging="252"/>
              <w:jc w:val="left"/>
            </w:pPr>
            <w:r w:rsidRPr="00E1422E">
              <w:t>A statement that, if the employee is not covered unde</w:t>
            </w:r>
            <w:r w:rsidRPr="00E1422E">
              <w:t>r minimum essential coverage for any month, reimbursements under the QSEHRA may be includible in gross income.</w:t>
            </w:r>
          </w:p>
        </w:tc>
      </w:tr>
      <w:tr w:rsidR="00960533" w14:paraId="2503AEEB" w14:textId="77777777" w:rsidTr="00F474DA">
        <w:trPr>
          <w:jc w:val="center"/>
        </w:trPr>
        <w:tc>
          <w:tcPr>
            <w:tcW w:w="1732" w:type="dxa"/>
            <w:shd w:val="clear" w:color="auto" w:fill="EDEDED" w:themeFill="accent3" w:themeFillTint="33"/>
            <w:vAlign w:val="center"/>
          </w:tcPr>
          <w:p w14:paraId="6EC819FC" w14:textId="77777777" w:rsidR="007F7440" w:rsidRPr="00311E37" w:rsidRDefault="004C2F9B" w:rsidP="007F7440">
            <w:pPr>
              <w:spacing w:before="60" w:after="60"/>
              <w:jc w:val="center"/>
              <w:rPr>
                <w:b/>
                <w:color w:val="32607A"/>
              </w:rPr>
            </w:pPr>
            <w:r w:rsidRPr="00BF11FD">
              <w:rPr>
                <w:b/>
                <w:color w:val="5083C9"/>
              </w:rPr>
              <w:t xml:space="preserve">Uniformed Services Employment and Reemployment </w:t>
            </w:r>
            <w:r w:rsidRPr="00311E37">
              <w:rPr>
                <w:b/>
                <w:color w:val="32607A"/>
              </w:rPr>
              <w:lastRenderedPageBreak/>
              <w:t>Rights Act (USERRA)</w:t>
            </w:r>
          </w:p>
        </w:tc>
        <w:tc>
          <w:tcPr>
            <w:tcW w:w="1688" w:type="dxa"/>
            <w:shd w:val="clear" w:color="auto" w:fill="EDEDED" w:themeFill="accent3" w:themeFillTint="33"/>
            <w:vAlign w:val="center"/>
          </w:tcPr>
          <w:p w14:paraId="0D99BA55" w14:textId="77777777" w:rsidR="007F7440" w:rsidRPr="00311E37" w:rsidRDefault="004C2F9B" w:rsidP="007F7440">
            <w:pPr>
              <w:spacing w:before="60" w:after="60"/>
              <w:jc w:val="center"/>
              <w:rPr>
                <w:color w:val="595959"/>
              </w:rPr>
            </w:pPr>
            <w:r w:rsidRPr="00311E37">
              <w:rPr>
                <w:color w:val="595959"/>
              </w:rPr>
              <w:lastRenderedPageBreak/>
              <w:t>All public and private employers, regardless of size</w:t>
            </w:r>
          </w:p>
        </w:tc>
        <w:tc>
          <w:tcPr>
            <w:tcW w:w="2835" w:type="dxa"/>
            <w:shd w:val="clear" w:color="auto" w:fill="EDEDED" w:themeFill="accent3" w:themeFillTint="33"/>
          </w:tcPr>
          <w:p w14:paraId="5D8E0400" w14:textId="77777777" w:rsidR="007F7440" w:rsidRPr="00311E37" w:rsidRDefault="004C2F9B" w:rsidP="007F7440">
            <w:pPr>
              <w:spacing w:before="60" w:after="60"/>
              <w:rPr>
                <w:color w:val="595959"/>
              </w:rPr>
            </w:pPr>
            <w:r w:rsidRPr="00BF11FD">
              <w:rPr>
                <w:b/>
                <w:color w:val="5083C9"/>
              </w:rPr>
              <w:t xml:space="preserve">USERRA </w:t>
            </w:r>
            <w:r w:rsidR="00BF11FD" w:rsidRPr="00BF11FD">
              <w:rPr>
                <w:b/>
                <w:color w:val="5083C9"/>
              </w:rPr>
              <w:t>n</w:t>
            </w:r>
            <w:r w:rsidRPr="00BF11FD">
              <w:rPr>
                <w:b/>
                <w:color w:val="5083C9"/>
              </w:rPr>
              <w:t>otice</w:t>
            </w:r>
            <w:r w:rsidRPr="00311E37">
              <w:rPr>
                <w:b/>
                <w:color w:val="595959"/>
              </w:rPr>
              <w:t>—</w:t>
            </w:r>
            <w:r w:rsidRPr="00311E37">
              <w:rPr>
                <w:color w:val="595959"/>
              </w:rPr>
              <w:t xml:space="preserve">Employers must provide notice by posting where other employee notices are customarily posted, or </w:t>
            </w:r>
            <w:r w:rsidRPr="00311E37">
              <w:rPr>
                <w:color w:val="595959"/>
              </w:rPr>
              <w:lastRenderedPageBreak/>
              <w:t>provide to employees by alternate means.</w:t>
            </w:r>
          </w:p>
        </w:tc>
        <w:tc>
          <w:tcPr>
            <w:tcW w:w="4455" w:type="dxa"/>
            <w:shd w:val="clear" w:color="auto" w:fill="EDEDED" w:themeFill="accent3" w:themeFillTint="33"/>
          </w:tcPr>
          <w:p w14:paraId="2C3C6BE3" w14:textId="77777777" w:rsidR="007F7440" w:rsidRPr="00311E37" w:rsidRDefault="004C2F9B" w:rsidP="007F7440">
            <w:pPr>
              <w:spacing w:before="60" w:after="60"/>
              <w:rPr>
                <w:color w:val="595959"/>
              </w:rPr>
            </w:pPr>
            <w:r w:rsidRPr="00311E37">
              <w:rPr>
                <w:color w:val="595959"/>
              </w:rPr>
              <w:lastRenderedPageBreak/>
              <w:t>Employers must provide notice of rights, benefits and obligations of persons entitled to USERRA and of employers.</w:t>
            </w:r>
          </w:p>
        </w:tc>
      </w:tr>
      <w:tr w:rsidR="00960533" w14:paraId="63E82C8F" w14:textId="77777777" w:rsidTr="00F474DA">
        <w:trPr>
          <w:jc w:val="center"/>
        </w:trPr>
        <w:tc>
          <w:tcPr>
            <w:tcW w:w="1732" w:type="dxa"/>
            <w:shd w:val="clear" w:color="auto" w:fill="EDEDED" w:themeFill="accent3" w:themeFillTint="33"/>
            <w:vAlign w:val="center"/>
          </w:tcPr>
          <w:p w14:paraId="195A43D7" w14:textId="77777777" w:rsidR="007F7440" w:rsidRPr="00311E37" w:rsidRDefault="004C2F9B" w:rsidP="007F7440">
            <w:pPr>
              <w:spacing w:before="60" w:after="60"/>
              <w:jc w:val="center"/>
              <w:rPr>
                <w:b/>
                <w:color w:val="32607A"/>
              </w:rPr>
            </w:pPr>
            <w:r w:rsidRPr="00BF11FD">
              <w:rPr>
                <w:b/>
                <w:color w:val="5083C9"/>
              </w:rPr>
              <w:t>Women’s Health and Cancer Rights Act (WHCRA)</w:t>
            </w:r>
          </w:p>
        </w:tc>
        <w:tc>
          <w:tcPr>
            <w:tcW w:w="1688" w:type="dxa"/>
            <w:shd w:val="clear" w:color="auto" w:fill="EDEDED" w:themeFill="accent3" w:themeFillTint="33"/>
            <w:vAlign w:val="center"/>
          </w:tcPr>
          <w:p w14:paraId="36E95A1C" w14:textId="77777777" w:rsidR="007F7440" w:rsidRPr="00311E37" w:rsidRDefault="004C2F9B" w:rsidP="007F7440">
            <w:pPr>
              <w:spacing w:before="60" w:after="60"/>
              <w:jc w:val="center"/>
              <w:rPr>
                <w:color w:val="595959"/>
              </w:rPr>
            </w:pPr>
            <w:r w:rsidRPr="00311E37">
              <w:rPr>
                <w:color w:val="595959"/>
              </w:rPr>
              <w:t>Group health plans that provide coverage for mastectomy benefits</w:t>
            </w:r>
          </w:p>
        </w:tc>
        <w:tc>
          <w:tcPr>
            <w:tcW w:w="2835" w:type="dxa"/>
            <w:shd w:val="clear" w:color="auto" w:fill="EDEDED" w:themeFill="accent3" w:themeFillTint="33"/>
          </w:tcPr>
          <w:p w14:paraId="3132B732" w14:textId="77777777" w:rsidR="007F7440" w:rsidRPr="00311E37" w:rsidRDefault="004C2F9B" w:rsidP="007F7440">
            <w:pPr>
              <w:spacing w:before="60" w:after="60"/>
              <w:rPr>
                <w:color w:val="595959"/>
              </w:rPr>
            </w:pPr>
            <w:r w:rsidRPr="00BF11FD">
              <w:rPr>
                <w:b/>
                <w:color w:val="5083C9"/>
              </w:rPr>
              <w:t xml:space="preserve">WHCRA </w:t>
            </w:r>
            <w:r w:rsidR="00BF11FD">
              <w:rPr>
                <w:b/>
                <w:color w:val="5083C9"/>
              </w:rPr>
              <w:t>n</w:t>
            </w:r>
            <w:r w:rsidRPr="00BF11FD">
              <w:rPr>
                <w:b/>
                <w:color w:val="5083C9"/>
              </w:rPr>
              <w:t>otice</w:t>
            </w:r>
            <w:r w:rsidRPr="00311E37">
              <w:rPr>
                <w:b/>
                <w:color w:val="595959"/>
              </w:rPr>
              <w:t>—</w:t>
            </w:r>
            <w:r w:rsidRPr="00311E37">
              <w:rPr>
                <w:color w:val="595959"/>
              </w:rPr>
              <w:t>Plan administrators and issuers must provide notice upon enrollment in the plan and annually thereafter.</w:t>
            </w:r>
          </w:p>
        </w:tc>
        <w:tc>
          <w:tcPr>
            <w:tcW w:w="4455" w:type="dxa"/>
            <w:shd w:val="clear" w:color="auto" w:fill="EDEDED" w:themeFill="accent3" w:themeFillTint="33"/>
          </w:tcPr>
          <w:p w14:paraId="01AAB689" w14:textId="77777777" w:rsidR="007F7440" w:rsidRPr="00311E37" w:rsidRDefault="004C2F9B" w:rsidP="007F7440">
            <w:pPr>
              <w:spacing w:before="60" w:after="60"/>
              <w:rPr>
                <w:color w:val="595959"/>
              </w:rPr>
            </w:pPr>
            <w:r w:rsidRPr="00311E37">
              <w:rPr>
                <w:color w:val="595959"/>
              </w:rPr>
              <w:t>Enrollment notice should inc</w:t>
            </w:r>
            <w:r w:rsidRPr="00311E37">
              <w:rPr>
                <w:color w:val="595959"/>
              </w:rPr>
              <w:t>lude a statement that for participants and beneficiaries who are receiving mastectomy-related benefits, coverage will be provided in a manner determined in consultation with the attending physician and the patient, for all stages of reconstruction of the b</w:t>
            </w:r>
            <w:r w:rsidRPr="00311E37">
              <w:rPr>
                <w:color w:val="595959"/>
              </w:rPr>
              <w:t>reast on which the mastectomy was performed, surgery and reconstruction of the other breast to produce a symmetrical appearance, prostheses, and treatment of physical complications of the mastectomy, including lymphedema. Notice should also include a descr</w:t>
            </w:r>
            <w:r w:rsidRPr="00311E37">
              <w:rPr>
                <w:color w:val="595959"/>
              </w:rPr>
              <w:t>iption of any deductibles and coinsurance limitations applicable to such coverage.</w:t>
            </w:r>
          </w:p>
          <w:p w14:paraId="0D29502F" w14:textId="77777777" w:rsidR="007F7440" w:rsidRDefault="004C2F9B" w:rsidP="007F7440">
            <w:pPr>
              <w:spacing w:before="60" w:after="60"/>
              <w:rPr>
                <w:color w:val="595959"/>
              </w:rPr>
            </w:pPr>
            <w:r w:rsidRPr="00311E37">
              <w:rPr>
                <w:color w:val="595959"/>
              </w:rPr>
              <w:t>Annual notice should include a copy of the WHCRA enrollment notice, or a simplified disclosure providing notice of the availability of benefits for the four required coverag</w:t>
            </w:r>
            <w:r w:rsidRPr="00311E37">
              <w:rPr>
                <w:color w:val="595959"/>
              </w:rPr>
              <w:t>es and information on how to obtain a detailed description.</w:t>
            </w:r>
            <w:r>
              <w:rPr>
                <w:color w:val="595959"/>
              </w:rPr>
              <w:t xml:space="preserve"> </w:t>
            </w:r>
          </w:p>
          <w:p w14:paraId="04F5C737" w14:textId="77777777" w:rsidR="007F7440" w:rsidRPr="00311E37" w:rsidRDefault="004C2F9B" w:rsidP="007F7440">
            <w:pPr>
              <w:spacing w:before="60" w:after="60"/>
              <w:rPr>
                <w:color w:val="595959"/>
              </w:rPr>
            </w:pPr>
            <w:r w:rsidRPr="0049027B">
              <w:rPr>
                <w:color w:val="595959"/>
              </w:rPr>
              <w:t xml:space="preserve">Model language is available in </w:t>
            </w:r>
            <w:r w:rsidRPr="00FF41E4">
              <w:rPr>
                <w:color w:val="595959"/>
              </w:rPr>
              <w:t xml:space="preserve">the DOL’s </w:t>
            </w:r>
            <w:hyperlink r:id="rId43" w:history="1">
              <w:r w:rsidRPr="00896299">
                <w:rPr>
                  <w:rStyle w:val="Hyperlink"/>
                </w:rPr>
                <w:t>model notice guide</w:t>
              </w:r>
            </w:hyperlink>
            <w:r w:rsidRPr="00FF41E4">
              <w:rPr>
                <w:color w:val="595959"/>
              </w:rPr>
              <w:t xml:space="preserve">.  </w:t>
            </w:r>
          </w:p>
        </w:tc>
      </w:tr>
    </w:tbl>
    <w:p w14:paraId="5D02659C" w14:textId="77777777" w:rsidR="00C84C66" w:rsidRPr="004967FA" w:rsidRDefault="00C84C66" w:rsidP="00BF11FD">
      <w:pPr>
        <w:pStyle w:val="BodyText"/>
      </w:pPr>
    </w:p>
    <w:sectPr w:rsidR="00C84C66" w:rsidRPr="004967FA" w:rsidSect="00C84C66">
      <w:headerReference w:type="default" r:id="rId44"/>
      <w:footerReference w:type="default" r:id="rId45"/>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6101" w14:textId="77777777" w:rsidR="00000000" w:rsidRDefault="004C2F9B">
      <w:pPr>
        <w:spacing w:after="0" w:line="240" w:lineRule="auto"/>
      </w:pPr>
      <w:r>
        <w:separator/>
      </w:r>
    </w:p>
  </w:endnote>
  <w:endnote w:type="continuationSeparator" w:id="0">
    <w:p w14:paraId="273593D9" w14:textId="77777777" w:rsidR="00000000" w:rsidRDefault="004C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9C55" w14:textId="77777777" w:rsidR="00F474DA" w:rsidRDefault="004C2F9B">
    <w:pPr>
      <w:pStyle w:val="Footer"/>
    </w:pPr>
    <w:r>
      <w:rPr>
        <w:noProof/>
      </w:rPr>
      <mc:AlternateContent>
        <mc:Choice Requires="wps">
          <w:drawing>
            <wp:anchor distT="0" distB="0" distL="114300" distR="114300" simplePos="0" relativeHeight="251665408" behindDoc="0" locked="0" layoutInCell="1" allowOverlap="1" wp14:anchorId="06614A36" wp14:editId="5D68B3C3">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14C517E2" wp14:editId="6831FCFC">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10C28433" w14:textId="77777777" w:rsidR="00F474DA" w:rsidRDefault="004C2F9B">
        <w:pPr>
          <w:pStyle w:val="Footer"/>
          <w:jc w:val="right"/>
        </w:pPr>
        <w:r>
          <w:rPr>
            <w:noProof/>
          </w:rPr>
          <mc:AlternateContent>
            <mc:Choice Requires="wps">
              <w:drawing>
                <wp:anchor distT="0" distB="0" distL="114300" distR="114300" simplePos="0" relativeHeight="251663360" behindDoc="0" locked="0" layoutInCell="1" allowOverlap="1" wp14:anchorId="203F16E6" wp14:editId="2F5E3D56">
                  <wp:simplePos x="0" y="0"/>
                  <wp:positionH relativeFrom="margin">
                    <wp:align>center</wp:align>
                  </wp:positionH>
                  <wp:positionV relativeFrom="margin">
                    <wp:posOffset>7967345</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center;mso-position-horizontal-relative:margin;mso-position-vertical-relative:margin;mso-width-percent:0;mso-width-relative:margin;mso-wrap-distance-bottom:0;mso-wrap-distance-left:9pt;mso-wrap-distance-right:9pt;mso-wrap-distance-top:0;mso-wrap-style:square;position:absolute;visibility:visible;z-index:251664384" from="0,627.35pt" to="539.25pt,628.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61312" behindDoc="0" locked="0" layoutInCell="1" allowOverlap="1" wp14:anchorId="4D63E688" wp14:editId="0C8FC487">
                  <wp:simplePos x="0" y="0"/>
                  <wp:positionH relativeFrom="margin">
                    <wp:align>left</wp:align>
                  </wp:positionH>
                  <wp:positionV relativeFrom="paragraph">
                    <wp:posOffset>-21590</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0937964C" w14:textId="77777777" w:rsidR="00F474DA" w:rsidRPr="00817EEE" w:rsidRDefault="004C2F9B"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t>2007-</w:t>
                              </w:r>
                              <w:r w:rsidRPr="00817EEE">
                                <w:t>20</w:t>
                              </w:r>
                              <w:r>
                                <w:t xml:space="preserve">20 </w:t>
                              </w:r>
                              <w:r w:rsidRPr="00817EEE">
                                <w:t>Zywave, Inc.</w:t>
                              </w:r>
                              <w:r>
                                <w:t xml:space="preserve"> </w:t>
                              </w:r>
                              <w:r w:rsidRPr="00817EEE">
                                <w:t>All rights reserved.</w:t>
                              </w:r>
                            </w:p>
                            <w:p w14:paraId="348D916A" w14:textId="77777777" w:rsidR="00F474DA" w:rsidRPr="00947E11" w:rsidRDefault="00F474DA" w:rsidP="00EC1229">
                              <w:pPr>
                                <w:pStyle w:val="Disclaimer"/>
                                <w:rPr>
                                  <w:szCs w:val="16"/>
                                </w:rPr>
                              </w:pPr>
                            </w:p>
                            <w:p w14:paraId="36106500" w14:textId="77777777" w:rsidR="00F474DA" w:rsidRPr="00947E11" w:rsidRDefault="00F474DA"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D63E688" id="_x0000_t202" coordsize="21600,21600" o:spt="202" path="m,l,21600r21600,l21600,xe">
                  <v:stroke joinstyle="miter"/>
                  <v:path gradientshapeok="t" o:connecttype="rect"/>
                </v:shapetype>
                <v:shape id="Text Box 20" o:spid="_x0000_s1038" type="#_x0000_t202" style="position:absolute;left:0;text-align:left;margin-left:0;margin-top:-1.7pt;width:471.25pt;height:4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" filled="f" stroked="f" strokeweight=".5pt">
                  <v:textbox>
                    <w:txbxContent>
                      <w:p w14:paraId="0937964C" w14:textId="77777777" w:rsidR="00F474DA" w:rsidRPr="00817EEE" w:rsidRDefault="004C2F9B"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t>2007-</w:t>
                        </w:r>
                        <w:r w:rsidRPr="00817EEE">
                          <w:t>20</w:t>
                        </w:r>
                        <w:r>
                          <w:t xml:space="preserve">20 </w:t>
                        </w:r>
                        <w:r w:rsidRPr="00817EEE">
                          <w:t>Zywave, Inc.</w:t>
                        </w:r>
                        <w:r>
                          <w:t xml:space="preserve"> </w:t>
                        </w:r>
                        <w:r w:rsidRPr="00817EEE">
                          <w:t>All rights reserved.</w:t>
                        </w:r>
                      </w:p>
                      <w:p w14:paraId="348D916A" w14:textId="77777777" w:rsidR="00F474DA" w:rsidRPr="00947E11" w:rsidRDefault="00F474DA" w:rsidP="00EC1229">
                        <w:pPr>
                          <w:pStyle w:val="Disclaimer"/>
                          <w:rPr>
                            <w:szCs w:val="16"/>
                          </w:rPr>
                        </w:pPr>
                      </w:p>
                      <w:p w14:paraId="36106500" w14:textId="77777777" w:rsidR="00F474DA" w:rsidRPr="00947E11" w:rsidRDefault="00F474DA" w:rsidP="008F7B15">
                        <w:pPr>
                          <w:pStyle w:val="Disclaimer"/>
                          <w:rPr>
                            <w:szCs w:val="16"/>
                          </w:rPr>
                        </w:pPr>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1566302" w14:textId="77777777" w:rsidR="00F474DA" w:rsidRDefault="00F4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444FE" w14:textId="77777777" w:rsidR="00000000" w:rsidRDefault="004C2F9B">
      <w:pPr>
        <w:spacing w:after="0" w:line="240" w:lineRule="auto"/>
      </w:pPr>
      <w:r>
        <w:separator/>
      </w:r>
    </w:p>
  </w:footnote>
  <w:footnote w:type="continuationSeparator" w:id="0">
    <w:p w14:paraId="5F120A75" w14:textId="77777777" w:rsidR="00000000" w:rsidRDefault="004C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F965" w14:textId="77777777" w:rsidR="00F474DA" w:rsidRDefault="004C2F9B">
    <w:pPr>
      <w:pStyle w:val="Header"/>
    </w:pPr>
    <w:r>
      <w:rPr>
        <w:noProof/>
      </w:rPr>
      <w:drawing>
        <wp:anchor distT="0" distB="0" distL="114300" distR="114300" simplePos="0" relativeHeight="251658240" behindDoc="1" locked="0" layoutInCell="1" allowOverlap="1" wp14:anchorId="3D94ADDF" wp14:editId="0BDF08CD">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C924" w14:textId="77777777" w:rsidR="00F474DA" w:rsidRDefault="004C2F9B">
    <w:pPr>
      <w:pStyle w:val="Header"/>
    </w:pPr>
    <w:r>
      <w:rPr>
        <w:noProof/>
      </w:rPr>
      <w:drawing>
        <wp:anchor distT="0" distB="0" distL="114300" distR="114300" simplePos="0" relativeHeight="251660288" behindDoc="1" locked="0" layoutInCell="1" allowOverlap="1" wp14:anchorId="60C33F1D" wp14:editId="3D592722">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93483"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2DF2E710">
      <w:start w:val="1"/>
      <w:numFmt w:val="bullet"/>
      <w:lvlText w:val=""/>
      <w:lvlJc w:val="left"/>
      <w:pPr>
        <w:ind w:left="540" w:hanging="360"/>
      </w:pPr>
      <w:rPr>
        <w:rFonts w:ascii="Symbol" w:hAnsi="Symbol" w:hint="default"/>
        <w:color w:val="5083C9"/>
      </w:rPr>
    </w:lvl>
    <w:lvl w:ilvl="1" w:tplc="F560EE46">
      <w:start w:val="1"/>
      <w:numFmt w:val="bullet"/>
      <w:lvlText w:val="o"/>
      <w:lvlJc w:val="left"/>
      <w:pPr>
        <w:ind w:left="1440" w:hanging="360"/>
      </w:pPr>
      <w:rPr>
        <w:rFonts w:ascii="Courier New" w:hAnsi="Courier New" w:cs="Courier New" w:hint="default"/>
      </w:rPr>
    </w:lvl>
    <w:lvl w:ilvl="2" w:tplc="B8E83DA8" w:tentative="1">
      <w:start w:val="1"/>
      <w:numFmt w:val="bullet"/>
      <w:lvlText w:val=""/>
      <w:lvlJc w:val="left"/>
      <w:pPr>
        <w:ind w:left="2160" w:hanging="360"/>
      </w:pPr>
      <w:rPr>
        <w:rFonts w:ascii="Wingdings" w:hAnsi="Wingdings" w:hint="default"/>
      </w:rPr>
    </w:lvl>
    <w:lvl w:ilvl="3" w:tplc="C46E427A" w:tentative="1">
      <w:start w:val="1"/>
      <w:numFmt w:val="bullet"/>
      <w:lvlText w:val=""/>
      <w:lvlJc w:val="left"/>
      <w:pPr>
        <w:ind w:left="2880" w:hanging="360"/>
      </w:pPr>
      <w:rPr>
        <w:rFonts w:ascii="Symbol" w:hAnsi="Symbol" w:hint="default"/>
      </w:rPr>
    </w:lvl>
    <w:lvl w:ilvl="4" w:tplc="CF9E6B18" w:tentative="1">
      <w:start w:val="1"/>
      <w:numFmt w:val="bullet"/>
      <w:lvlText w:val="o"/>
      <w:lvlJc w:val="left"/>
      <w:pPr>
        <w:ind w:left="3600" w:hanging="360"/>
      </w:pPr>
      <w:rPr>
        <w:rFonts w:ascii="Courier New" w:hAnsi="Courier New" w:cs="Courier New" w:hint="default"/>
      </w:rPr>
    </w:lvl>
    <w:lvl w:ilvl="5" w:tplc="E77048DE" w:tentative="1">
      <w:start w:val="1"/>
      <w:numFmt w:val="bullet"/>
      <w:lvlText w:val=""/>
      <w:lvlJc w:val="left"/>
      <w:pPr>
        <w:ind w:left="4320" w:hanging="360"/>
      </w:pPr>
      <w:rPr>
        <w:rFonts w:ascii="Wingdings" w:hAnsi="Wingdings" w:hint="default"/>
      </w:rPr>
    </w:lvl>
    <w:lvl w:ilvl="6" w:tplc="E68649FA" w:tentative="1">
      <w:start w:val="1"/>
      <w:numFmt w:val="bullet"/>
      <w:lvlText w:val=""/>
      <w:lvlJc w:val="left"/>
      <w:pPr>
        <w:ind w:left="5040" w:hanging="360"/>
      </w:pPr>
      <w:rPr>
        <w:rFonts w:ascii="Symbol" w:hAnsi="Symbol" w:hint="default"/>
      </w:rPr>
    </w:lvl>
    <w:lvl w:ilvl="7" w:tplc="497A510A" w:tentative="1">
      <w:start w:val="1"/>
      <w:numFmt w:val="bullet"/>
      <w:lvlText w:val="o"/>
      <w:lvlJc w:val="left"/>
      <w:pPr>
        <w:ind w:left="5760" w:hanging="360"/>
      </w:pPr>
      <w:rPr>
        <w:rFonts w:ascii="Courier New" w:hAnsi="Courier New" w:cs="Courier New" w:hint="default"/>
      </w:rPr>
    </w:lvl>
    <w:lvl w:ilvl="8" w:tplc="6EC02C7C" w:tentative="1">
      <w:start w:val="1"/>
      <w:numFmt w:val="bullet"/>
      <w:lvlText w:val=""/>
      <w:lvlJc w:val="left"/>
      <w:pPr>
        <w:ind w:left="6480" w:hanging="360"/>
      </w:pPr>
      <w:rPr>
        <w:rFonts w:ascii="Wingdings" w:hAnsi="Wingdings" w:hint="default"/>
      </w:rPr>
    </w:lvl>
  </w:abstractNum>
  <w:abstractNum w:abstractNumId="1" w15:restartNumberingAfterBreak="0">
    <w:nsid w:val="155A5C1C"/>
    <w:multiLevelType w:val="hybridMultilevel"/>
    <w:tmpl w:val="BFBAD3DC"/>
    <w:lvl w:ilvl="0" w:tplc="C7523E4A">
      <w:start w:val="1"/>
      <w:numFmt w:val="bullet"/>
      <w:lvlText w:val=""/>
      <w:lvlJc w:val="left"/>
      <w:pPr>
        <w:ind w:left="1080" w:hanging="360"/>
      </w:pPr>
      <w:rPr>
        <w:rFonts w:ascii="Symbol" w:hAnsi="Symbol" w:hint="default"/>
      </w:rPr>
    </w:lvl>
    <w:lvl w:ilvl="1" w:tplc="006EEE90" w:tentative="1">
      <w:start w:val="1"/>
      <w:numFmt w:val="bullet"/>
      <w:lvlText w:val="o"/>
      <w:lvlJc w:val="left"/>
      <w:pPr>
        <w:ind w:left="1800" w:hanging="360"/>
      </w:pPr>
      <w:rPr>
        <w:rFonts w:ascii="Courier New" w:hAnsi="Courier New" w:cs="Courier New" w:hint="default"/>
      </w:rPr>
    </w:lvl>
    <w:lvl w:ilvl="2" w:tplc="97A4FE44" w:tentative="1">
      <w:start w:val="1"/>
      <w:numFmt w:val="bullet"/>
      <w:lvlText w:val=""/>
      <w:lvlJc w:val="left"/>
      <w:pPr>
        <w:ind w:left="2520" w:hanging="360"/>
      </w:pPr>
      <w:rPr>
        <w:rFonts w:ascii="Wingdings" w:hAnsi="Wingdings" w:hint="default"/>
      </w:rPr>
    </w:lvl>
    <w:lvl w:ilvl="3" w:tplc="2CA2C596" w:tentative="1">
      <w:start w:val="1"/>
      <w:numFmt w:val="bullet"/>
      <w:lvlText w:val=""/>
      <w:lvlJc w:val="left"/>
      <w:pPr>
        <w:ind w:left="3240" w:hanging="360"/>
      </w:pPr>
      <w:rPr>
        <w:rFonts w:ascii="Symbol" w:hAnsi="Symbol" w:hint="default"/>
      </w:rPr>
    </w:lvl>
    <w:lvl w:ilvl="4" w:tplc="907EDEC4" w:tentative="1">
      <w:start w:val="1"/>
      <w:numFmt w:val="bullet"/>
      <w:lvlText w:val="o"/>
      <w:lvlJc w:val="left"/>
      <w:pPr>
        <w:ind w:left="3960" w:hanging="360"/>
      </w:pPr>
      <w:rPr>
        <w:rFonts w:ascii="Courier New" w:hAnsi="Courier New" w:cs="Courier New" w:hint="default"/>
      </w:rPr>
    </w:lvl>
    <w:lvl w:ilvl="5" w:tplc="C086647A" w:tentative="1">
      <w:start w:val="1"/>
      <w:numFmt w:val="bullet"/>
      <w:lvlText w:val=""/>
      <w:lvlJc w:val="left"/>
      <w:pPr>
        <w:ind w:left="4680" w:hanging="360"/>
      </w:pPr>
      <w:rPr>
        <w:rFonts w:ascii="Wingdings" w:hAnsi="Wingdings" w:hint="default"/>
      </w:rPr>
    </w:lvl>
    <w:lvl w:ilvl="6" w:tplc="35FEBEA8" w:tentative="1">
      <w:start w:val="1"/>
      <w:numFmt w:val="bullet"/>
      <w:lvlText w:val=""/>
      <w:lvlJc w:val="left"/>
      <w:pPr>
        <w:ind w:left="5400" w:hanging="360"/>
      </w:pPr>
      <w:rPr>
        <w:rFonts w:ascii="Symbol" w:hAnsi="Symbol" w:hint="default"/>
      </w:rPr>
    </w:lvl>
    <w:lvl w:ilvl="7" w:tplc="EA4E739C" w:tentative="1">
      <w:start w:val="1"/>
      <w:numFmt w:val="bullet"/>
      <w:lvlText w:val="o"/>
      <w:lvlJc w:val="left"/>
      <w:pPr>
        <w:ind w:left="6120" w:hanging="360"/>
      </w:pPr>
      <w:rPr>
        <w:rFonts w:ascii="Courier New" w:hAnsi="Courier New" w:cs="Courier New" w:hint="default"/>
      </w:rPr>
    </w:lvl>
    <w:lvl w:ilvl="8" w:tplc="9758AF58" w:tentative="1">
      <w:start w:val="1"/>
      <w:numFmt w:val="bullet"/>
      <w:lvlText w:val=""/>
      <w:lvlJc w:val="left"/>
      <w:pPr>
        <w:ind w:left="6840" w:hanging="360"/>
      </w:pPr>
      <w:rPr>
        <w:rFonts w:ascii="Wingdings" w:hAnsi="Wingdings" w:hint="default"/>
      </w:rPr>
    </w:lvl>
  </w:abstractNum>
  <w:abstractNum w:abstractNumId="2" w15:restartNumberingAfterBreak="0">
    <w:nsid w:val="1568599D"/>
    <w:multiLevelType w:val="multilevel"/>
    <w:tmpl w:val="B13CDD56"/>
    <w:numStyleLink w:val="BulletedList"/>
  </w:abstractNum>
  <w:abstractNum w:abstractNumId="3" w15:restartNumberingAfterBreak="0">
    <w:nsid w:val="184B34E2"/>
    <w:multiLevelType w:val="hybridMultilevel"/>
    <w:tmpl w:val="8654C8FA"/>
    <w:lvl w:ilvl="0" w:tplc="98BCD114">
      <w:start w:val="1"/>
      <w:numFmt w:val="decimal"/>
      <w:lvlText w:val="%1)"/>
      <w:lvlJc w:val="left"/>
      <w:pPr>
        <w:tabs>
          <w:tab w:val="num" w:pos="420"/>
        </w:tabs>
        <w:ind w:left="420" w:hanging="360"/>
      </w:pPr>
      <w:rPr>
        <w:rFonts w:hint="default"/>
      </w:rPr>
    </w:lvl>
    <w:lvl w:ilvl="1" w:tplc="ABBE4D30" w:tentative="1">
      <w:start w:val="1"/>
      <w:numFmt w:val="lowerLetter"/>
      <w:lvlText w:val="%2."/>
      <w:lvlJc w:val="left"/>
      <w:pPr>
        <w:tabs>
          <w:tab w:val="num" w:pos="1140"/>
        </w:tabs>
        <w:ind w:left="1140" w:hanging="360"/>
      </w:pPr>
    </w:lvl>
    <w:lvl w:ilvl="2" w:tplc="7B9C6F46" w:tentative="1">
      <w:start w:val="1"/>
      <w:numFmt w:val="lowerRoman"/>
      <w:lvlText w:val="%3."/>
      <w:lvlJc w:val="right"/>
      <w:pPr>
        <w:tabs>
          <w:tab w:val="num" w:pos="1860"/>
        </w:tabs>
        <w:ind w:left="1860" w:hanging="180"/>
      </w:pPr>
    </w:lvl>
    <w:lvl w:ilvl="3" w:tplc="6E8426CE" w:tentative="1">
      <w:start w:val="1"/>
      <w:numFmt w:val="decimal"/>
      <w:lvlText w:val="%4."/>
      <w:lvlJc w:val="left"/>
      <w:pPr>
        <w:tabs>
          <w:tab w:val="num" w:pos="2580"/>
        </w:tabs>
        <w:ind w:left="2580" w:hanging="360"/>
      </w:pPr>
    </w:lvl>
    <w:lvl w:ilvl="4" w:tplc="07440D0A" w:tentative="1">
      <w:start w:val="1"/>
      <w:numFmt w:val="lowerLetter"/>
      <w:lvlText w:val="%5."/>
      <w:lvlJc w:val="left"/>
      <w:pPr>
        <w:tabs>
          <w:tab w:val="num" w:pos="3300"/>
        </w:tabs>
        <w:ind w:left="3300" w:hanging="360"/>
      </w:pPr>
    </w:lvl>
    <w:lvl w:ilvl="5" w:tplc="B19EB01E" w:tentative="1">
      <w:start w:val="1"/>
      <w:numFmt w:val="lowerRoman"/>
      <w:lvlText w:val="%6."/>
      <w:lvlJc w:val="right"/>
      <w:pPr>
        <w:tabs>
          <w:tab w:val="num" w:pos="4020"/>
        </w:tabs>
        <w:ind w:left="4020" w:hanging="180"/>
      </w:pPr>
    </w:lvl>
    <w:lvl w:ilvl="6" w:tplc="F168E986" w:tentative="1">
      <w:start w:val="1"/>
      <w:numFmt w:val="decimal"/>
      <w:lvlText w:val="%7."/>
      <w:lvlJc w:val="left"/>
      <w:pPr>
        <w:tabs>
          <w:tab w:val="num" w:pos="4740"/>
        </w:tabs>
        <w:ind w:left="4740" w:hanging="360"/>
      </w:pPr>
    </w:lvl>
    <w:lvl w:ilvl="7" w:tplc="594071FA" w:tentative="1">
      <w:start w:val="1"/>
      <w:numFmt w:val="lowerLetter"/>
      <w:lvlText w:val="%8."/>
      <w:lvlJc w:val="left"/>
      <w:pPr>
        <w:tabs>
          <w:tab w:val="num" w:pos="5460"/>
        </w:tabs>
        <w:ind w:left="5460" w:hanging="360"/>
      </w:pPr>
    </w:lvl>
    <w:lvl w:ilvl="8" w:tplc="FDD2F69A" w:tentative="1">
      <w:start w:val="1"/>
      <w:numFmt w:val="lowerRoman"/>
      <w:lvlText w:val="%9."/>
      <w:lvlJc w:val="right"/>
      <w:pPr>
        <w:tabs>
          <w:tab w:val="num" w:pos="6180"/>
        </w:tabs>
        <w:ind w:left="6180" w:hanging="180"/>
      </w:pPr>
    </w:lvl>
  </w:abstractNum>
  <w:abstractNum w:abstractNumId="4" w15:restartNumberingAfterBreak="0">
    <w:nsid w:val="1A270686"/>
    <w:multiLevelType w:val="hybridMultilevel"/>
    <w:tmpl w:val="409AC006"/>
    <w:lvl w:ilvl="0" w:tplc="3B86FD0A">
      <w:start w:val="1"/>
      <w:numFmt w:val="bullet"/>
      <w:pStyle w:val="Checkbox"/>
      <w:lvlText w:val=""/>
      <w:lvlJc w:val="left"/>
      <w:pPr>
        <w:ind w:left="540" w:hanging="360"/>
      </w:pPr>
      <w:rPr>
        <w:rFonts w:ascii="Wingdings" w:hAnsi="Wingdings" w:hint="default"/>
        <w:color w:val="5083C9"/>
        <w:sz w:val="28"/>
      </w:rPr>
    </w:lvl>
    <w:lvl w:ilvl="1" w:tplc="123CD498">
      <w:start w:val="1"/>
      <w:numFmt w:val="bullet"/>
      <w:lvlText w:val="o"/>
      <w:lvlJc w:val="left"/>
      <w:pPr>
        <w:ind w:left="1440" w:hanging="360"/>
      </w:pPr>
      <w:rPr>
        <w:rFonts w:ascii="Courier New" w:hAnsi="Courier New" w:cs="Courier New" w:hint="default"/>
      </w:rPr>
    </w:lvl>
    <w:lvl w:ilvl="2" w:tplc="7374AE2C" w:tentative="1">
      <w:start w:val="1"/>
      <w:numFmt w:val="bullet"/>
      <w:lvlText w:val=""/>
      <w:lvlJc w:val="left"/>
      <w:pPr>
        <w:ind w:left="2160" w:hanging="360"/>
      </w:pPr>
      <w:rPr>
        <w:rFonts w:ascii="Wingdings" w:hAnsi="Wingdings" w:hint="default"/>
      </w:rPr>
    </w:lvl>
    <w:lvl w:ilvl="3" w:tplc="6F3A97E8" w:tentative="1">
      <w:start w:val="1"/>
      <w:numFmt w:val="bullet"/>
      <w:lvlText w:val=""/>
      <w:lvlJc w:val="left"/>
      <w:pPr>
        <w:ind w:left="2880" w:hanging="360"/>
      </w:pPr>
      <w:rPr>
        <w:rFonts w:ascii="Symbol" w:hAnsi="Symbol" w:hint="default"/>
      </w:rPr>
    </w:lvl>
    <w:lvl w:ilvl="4" w:tplc="4E8CCBA4" w:tentative="1">
      <w:start w:val="1"/>
      <w:numFmt w:val="bullet"/>
      <w:lvlText w:val="o"/>
      <w:lvlJc w:val="left"/>
      <w:pPr>
        <w:ind w:left="3600" w:hanging="360"/>
      </w:pPr>
      <w:rPr>
        <w:rFonts w:ascii="Courier New" w:hAnsi="Courier New" w:cs="Courier New" w:hint="default"/>
      </w:rPr>
    </w:lvl>
    <w:lvl w:ilvl="5" w:tplc="0D829C30" w:tentative="1">
      <w:start w:val="1"/>
      <w:numFmt w:val="bullet"/>
      <w:lvlText w:val=""/>
      <w:lvlJc w:val="left"/>
      <w:pPr>
        <w:ind w:left="4320" w:hanging="360"/>
      </w:pPr>
      <w:rPr>
        <w:rFonts w:ascii="Wingdings" w:hAnsi="Wingdings" w:hint="default"/>
      </w:rPr>
    </w:lvl>
    <w:lvl w:ilvl="6" w:tplc="5FC8DF72" w:tentative="1">
      <w:start w:val="1"/>
      <w:numFmt w:val="bullet"/>
      <w:lvlText w:val=""/>
      <w:lvlJc w:val="left"/>
      <w:pPr>
        <w:ind w:left="5040" w:hanging="360"/>
      </w:pPr>
      <w:rPr>
        <w:rFonts w:ascii="Symbol" w:hAnsi="Symbol" w:hint="default"/>
      </w:rPr>
    </w:lvl>
    <w:lvl w:ilvl="7" w:tplc="AC3C2D3E" w:tentative="1">
      <w:start w:val="1"/>
      <w:numFmt w:val="bullet"/>
      <w:lvlText w:val="o"/>
      <w:lvlJc w:val="left"/>
      <w:pPr>
        <w:ind w:left="5760" w:hanging="360"/>
      </w:pPr>
      <w:rPr>
        <w:rFonts w:ascii="Courier New" w:hAnsi="Courier New" w:cs="Courier New" w:hint="default"/>
      </w:rPr>
    </w:lvl>
    <w:lvl w:ilvl="8" w:tplc="3030EE4C" w:tentative="1">
      <w:start w:val="1"/>
      <w:numFmt w:val="bullet"/>
      <w:lvlText w:val=""/>
      <w:lvlJc w:val="left"/>
      <w:pPr>
        <w:ind w:left="6480" w:hanging="360"/>
      </w:pPr>
      <w:rPr>
        <w:rFonts w:ascii="Wingdings" w:hAnsi="Wingdings" w:hint="default"/>
      </w:rPr>
    </w:lvl>
  </w:abstractNum>
  <w:abstractNum w:abstractNumId="5" w15:restartNumberingAfterBreak="0">
    <w:nsid w:val="28A86A36"/>
    <w:multiLevelType w:val="hybridMultilevel"/>
    <w:tmpl w:val="CD98E39E"/>
    <w:lvl w:ilvl="0" w:tplc="CC789770">
      <w:start w:val="1"/>
      <w:numFmt w:val="bullet"/>
      <w:lvlText w:val=""/>
      <w:lvlJc w:val="left"/>
      <w:pPr>
        <w:ind w:left="720" w:hanging="360"/>
      </w:pPr>
      <w:rPr>
        <w:rFonts w:ascii="Symbol" w:hAnsi="Symbol" w:hint="default"/>
      </w:rPr>
    </w:lvl>
    <w:lvl w:ilvl="1" w:tplc="10723F12" w:tentative="1">
      <w:start w:val="1"/>
      <w:numFmt w:val="bullet"/>
      <w:lvlText w:val="o"/>
      <w:lvlJc w:val="left"/>
      <w:pPr>
        <w:ind w:left="1440" w:hanging="360"/>
      </w:pPr>
      <w:rPr>
        <w:rFonts w:ascii="Courier New" w:hAnsi="Courier New" w:cs="Courier New" w:hint="default"/>
      </w:rPr>
    </w:lvl>
    <w:lvl w:ilvl="2" w:tplc="21EEEA5E" w:tentative="1">
      <w:start w:val="1"/>
      <w:numFmt w:val="bullet"/>
      <w:lvlText w:val=""/>
      <w:lvlJc w:val="left"/>
      <w:pPr>
        <w:ind w:left="2160" w:hanging="360"/>
      </w:pPr>
      <w:rPr>
        <w:rFonts w:ascii="Wingdings" w:hAnsi="Wingdings" w:hint="default"/>
      </w:rPr>
    </w:lvl>
    <w:lvl w:ilvl="3" w:tplc="DABE6AE8" w:tentative="1">
      <w:start w:val="1"/>
      <w:numFmt w:val="bullet"/>
      <w:lvlText w:val=""/>
      <w:lvlJc w:val="left"/>
      <w:pPr>
        <w:ind w:left="2880" w:hanging="360"/>
      </w:pPr>
      <w:rPr>
        <w:rFonts w:ascii="Symbol" w:hAnsi="Symbol" w:hint="default"/>
      </w:rPr>
    </w:lvl>
    <w:lvl w:ilvl="4" w:tplc="BADE83F8" w:tentative="1">
      <w:start w:val="1"/>
      <w:numFmt w:val="bullet"/>
      <w:lvlText w:val="o"/>
      <w:lvlJc w:val="left"/>
      <w:pPr>
        <w:ind w:left="3600" w:hanging="360"/>
      </w:pPr>
      <w:rPr>
        <w:rFonts w:ascii="Courier New" w:hAnsi="Courier New" w:cs="Courier New" w:hint="default"/>
      </w:rPr>
    </w:lvl>
    <w:lvl w:ilvl="5" w:tplc="3DCE614C" w:tentative="1">
      <w:start w:val="1"/>
      <w:numFmt w:val="bullet"/>
      <w:lvlText w:val=""/>
      <w:lvlJc w:val="left"/>
      <w:pPr>
        <w:ind w:left="4320" w:hanging="360"/>
      </w:pPr>
      <w:rPr>
        <w:rFonts w:ascii="Wingdings" w:hAnsi="Wingdings" w:hint="default"/>
      </w:rPr>
    </w:lvl>
    <w:lvl w:ilvl="6" w:tplc="FEBAE09A" w:tentative="1">
      <w:start w:val="1"/>
      <w:numFmt w:val="bullet"/>
      <w:lvlText w:val=""/>
      <w:lvlJc w:val="left"/>
      <w:pPr>
        <w:ind w:left="5040" w:hanging="360"/>
      </w:pPr>
      <w:rPr>
        <w:rFonts w:ascii="Symbol" w:hAnsi="Symbol" w:hint="default"/>
      </w:rPr>
    </w:lvl>
    <w:lvl w:ilvl="7" w:tplc="FC783670" w:tentative="1">
      <w:start w:val="1"/>
      <w:numFmt w:val="bullet"/>
      <w:lvlText w:val="o"/>
      <w:lvlJc w:val="left"/>
      <w:pPr>
        <w:ind w:left="5760" w:hanging="360"/>
      </w:pPr>
      <w:rPr>
        <w:rFonts w:ascii="Courier New" w:hAnsi="Courier New" w:cs="Courier New" w:hint="default"/>
      </w:rPr>
    </w:lvl>
    <w:lvl w:ilvl="8" w:tplc="F4BA2354" w:tentative="1">
      <w:start w:val="1"/>
      <w:numFmt w:val="bullet"/>
      <w:lvlText w:val=""/>
      <w:lvlJc w:val="left"/>
      <w:pPr>
        <w:ind w:left="6480" w:hanging="360"/>
      </w:pPr>
      <w:rPr>
        <w:rFonts w:ascii="Wingdings" w:hAnsi="Wingdings" w:hint="default"/>
      </w:rPr>
    </w:lvl>
  </w:abstractNum>
  <w:abstractNum w:abstractNumId="6" w15:restartNumberingAfterBreak="0">
    <w:nsid w:val="2AF8312B"/>
    <w:multiLevelType w:val="hybridMultilevel"/>
    <w:tmpl w:val="F3629938"/>
    <w:lvl w:ilvl="0" w:tplc="6F941594">
      <w:start w:val="1"/>
      <w:numFmt w:val="bullet"/>
      <w:lvlText w:val=""/>
      <w:lvlJc w:val="left"/>
      <w:pPr>
        <w:ind w:left="720" w:hanging="360"/>
      </w:pPr>
      <w:rPr>
        <w:rFonts w:ascii="Symbol" w:hAnsi="Symbol" w:hint="default"/>
      </w:rPr>
    </w:lvl>
    <w:lvl w:ilvl="1" w:tplc="293093D8" w:tentative="1">
      <w:start w:val="1"/>
      <w:numFmt w:val="bullet"/>
      <w:lvlText w:val="o"/>
      <w:lvlJc w:val="left"/>
      <w:pPr>
        <w:ind w:left="1440" w:hanging="360"/>
      </w:pPr>
      <w:rPr>
        <w:rFonts w:ascii="Courier New" w:hAnsi="Courier New" w:cs="Courier New" w:hint="default"/>
      </w:rPr>
    </w:lvl>
    <w:lvl w:ilvl="2" w:tplc="63A2D2E4" w:tentative="1">
      <w:start w:val="1"/>
      <w:numFmt w:val="bullet"/>
      <w:lvlText w:val=""/>
      <w:lvlJc w:val="left"/>
      <w:pPr>
        <w:ind w:left="2160" w:hanging="360"/>
      </w:pPr>
      <w:rPr>
        <w:rFonts w:ascii="Wingdings" w:hAnsi="Wingdings" w:hint="default"/>
      </w:rPr>
    </w:lvl>
    <w:lvl w:ilvl="3" w:tplc="1BAAB13C" w:tentative="1">
      <w:start w:val="1"/>
      <w:numFmt w:val="bullet"/>
      <w:lvlText w:val=""/>
      <w:lvlJc w:val="left"/>
      <w:pPr>
        <w:ind w:left="2880" w:hanging="360"/>
      </w:pPr>
      <w:rPr>
        <w:rFonts w:ascii="Symbol" w:hAnsi="Symbol" w:hint="default"/>
      </w:rPr>
    </w:lvl>
    <w:lvl w:ilvl="4" w:tplc="E9C60670" w:tentative="1">
      <w:start w:val="1"/>
      <w:numFmt w:val="bullet"/>
      <w:lvlText w:val="o"/>
      <w:lvlJc w:val="left"/>
      <w:pPr>
        <w:ind w:left="3600" w:hanging="360"/>
      </w:pPr>
      <w:rPr>
        <w:rFonts w:ascii="Courier New" w:hAnsi="Courier New" w:cs="Courier New" w:hint="default"/>
      </w:rPr>
    </w:lvl>
    <w:lvl w:ilvl="5" w:tplc="6538A67C" w:tentative="1">
      <w:start w:val="1"/>
      <w:numFmt w:val="bullet"/>
      <w:lvlText w:val=""/>
      <w:lvlJc w:val="left"/>
      <w:pPr>
        <w:ind w:left="4320" w:hanging="360"/>
      </w:pPr>
      <w:rPr>
        <w:rFonts w:ascii="Wingdings" w:hAnsi="Wingdings" w:hint="default"/>
      </w:rPr>
    </w:lvl>
    <w:lvl w:ilvl="6" w:tplc="7542D33E" w:tentative="1">
      <w:start w:val="1"/>
      <w:numFmt w:val="bullet"/>
      <w:lvlText w:val=""/>
      <w:lvlJc w:val="left"/>
      <w:pPr>
        <w:ind w:left="5040" w:hanging="360"/>
      </w:pPr>
      <w:rPr>
        <w:rFonts w:ascii="Symbol" w:hAnsi="Symbol" w:hint="default"/>
      </w:rPr>
    </w:lvl>
    <w:lvl w:ilvl="7" w:tplc="AD122F62" w:tentative="1">
      <w:start w:val="1"/>
      <w:numFmt w:val="bullet"/>
      <w:lvlText w:val="o"/>
      <w:lvlJc w:val="left"/>
      <w:pPr>
        <w:ind w:left="5760" w:hanging="360"/>
      </w:pPr>
      <w:rPr>
        <w:rFonts w:ascii="Courier New" w:hAnsi="Courier New" w:cs="Courier New" w:hint="default"/>
      </w:rPr>
    </w:lvl>
    <w:lvl w:ilvl="8" w:tplc="48BA6486" w:tentative="1">
      <w:start w:val="1"/>
      <w:numFmt w:val="bullet"/>
      <w:lvlText w:val=""/>
      <w:lvlJc w:val="left"/>
      <w:pPr>
        <w:ind w:left="6480" w:hanging="360"/>
      </w:pPr>
      <w:rPr>
        <w:rFonts w:ascii="Wingdings" w:hAnsi="Wingdings" w:hint="default"/>
      </w:rPr>
    </w:lvl>
  </w:abstractNum>
  <w:abstractNum w:abstractNumId="7" w15:restartNumberingAfterBreak="0">
    <w:nsid w:val="382511BB"/>
    <w:multiLevelType w:val="hybridMultilevel"/>
    <w:tmpl w:val="B9C8BD24"/>
    <w:lvl w:ilvl="0" w:tplc="5E8CB75A">
      <w:start w:val="1"/>
      <w:numFmt w:val="bullet"/>
      <w:lvlText w:val=""/>
      <w:lvlJc w:val="left"/>
      <w:pPr>
        <w:ind w:left="1128" w:hanging="360"/>
      </w:pPr>
      <w:rPr>
        <w:rFonts w:ascii="Symbol" w:hAnsi="Symbol" w:hint="default"/>
      </w:rPr>
    </w:lvl>
    <w:lvl w:ilvl="1" w:tplc="9154E670" w:tentative="1">
      <w:start w:val="1"/>
      <w:numFmt w:val="bullet"/>
      <w:lvlText w:val="o"/>
      <w:lvlJc w:val="left"/>
      <w:pPr>
        <w:ind w:left="1848" w:hanging="360"/>
      </w:pPr>
      <w:rPr>
        <w:rFonts w:ascii="Courier New" w:hAnsi="Courier New" w:cs="Courier New" w:hint="default"/>
      </w:rPr>
    </w:lvl>
    <w:lvl w:ilvl="2" w:tplc="FEAA7EFA" w:tentative="1">
      <w:start w:val="1"/>
      <w:numFmt w:val="bullet"/>
      <w:lvlText w:val=""/>
      <w:lvlJc w:val="left"/>
      <w:pPr>
        <w:ind w:left="2568" w:hanging="360"/>
      </w:pPr>
      <w:rPr>
        <w:rFonts w:ascii="Wingdings" w:hAnsi="Wingdings" w:hint="default"/>
      </w:rPr>
    </w:lvl>
    <w:lvl w:ilvl="3" w:tplc="A662947C" w:tentative="1">
      <w:start w:val="1"/>
      <w:numFmt w:val="bullet"/>
      <w:lvlText w:val=""/>
      <w:lvlJc w:val="left"/>
      <w:pPr>
        <w:ind w:left="3288" w:hanging="360"/>
      </w:pPr>
      <w:rPr>
        <w:rFonts w:ascii="Symbol" w:hAnsi="Symbol" w:hint="default"/>
      </w:rPr>
    </w:lvl>
    <w:lvl w:ilvl="4" w:tplc="06680750" w:tentative="1">
      <w:start w:val="1"/>
      <w:numFmt w:val="bullet"/>
      <w:lvlText w:val="o"/>
      <w:lvlJc w:val="left"/>
      <w:pPr>
        <w:ind w:left="4008" w:hanging="360"/>
      </w:pPr>
      <w:rPr>
        <w:rFonts w:ascii="Courier New" w:hAnsi="Courier New" w:cs="Courier New" w:hint="default"/>
      </w:rPr>
    </w:lvl>
    <w:lvl w:ilvl="5" w:tplc="0A48CBA6" w:tentative="1">
      <w:start w:val="1"/>
      <w:numFmt w:val="bullet"/>
      <w:lvlText w:val=""/>
      <w:lvlJc w:val="left"/>
      <w:pPr>
        <w:ind w:left="4728" w:hanging="360"/>
      </w:pPr>
      <w:rPr>
        <w:rFonts w:ascii="Wingdings" w:hAnsi="Wingdings" w:hint="default"/>
      </w:rPr>
    </w:lvl>
    <w:lvl w:ilvl="6" w:tplc="2D906C12" w:tentative="1">
      <w:start w:val="1"/>
      <w:numFmt w:val="bullet"/>
      <w:lvlText w:val=""/>
      <w:lvlJc w:val="left"/>
      <w:pPr>
        <w:ind w:left="5448" w:hanging="360"/>
      </w:pPr>
      <w:rPr>
        <w:rFonts w:ascii="Symbol" w:hAnsi="Symbol" w:hint="default"/>
      </w:rPr>
    </w:lvl>
    <w:lvl w:ilvl="7" w:tplc="753861EC" w:tentative="1">
      <w:start w:val="1"/>
      <w:numFmt w:val="bullet"/>
      <w:lvlText w:val="o"/>
      <w:lvlJc w:val="left"/>
      <w:pPr>
        <w:ind w:left="6168" w:hanging="360"/>
      </w:pPr>
      <w:rPr>
        <w:rFonts w:ascii="Courier New" w:hAnsi="Courier New" w:cs="Courier New" w:hint="default"/>
      </w:rPr>
    </w:lvl>
    <w:lvl w:ilvl="8" w:tplc="261ED894" w:tentative="1">
      <w:start w:val="1"/>
      <w:numFmt w:val="bullet"/>
      <w:lvlText w:val=""/>
      <w:lvlJc w:val="left"/>
      <w:pPr>
        <w:ind w:left="6888" w:hanging="360"/>
      </w:pPr>
      <w:rPr>
        <w:rFonts w:ascii="Wingdings" w:hAnsi="Wingdings" w:hint="default"/>
      </w:rPr>
    </w:lvl>
  </w:abstractNum>
  <w:abstractNum w:abstractNumId="8" w15:restartNumberingAfterBreak="0">
    <w:nsid w:val="3C0308AE"/>
    <w:multiLevelType w:val="hybridMultilevel"/>
    <w:tmpl w:val="78304994"/>
    <w:lvl w:ilvl="0" w:tplc="C2F840E0">
      <w:start w:val="1"/>
      <w:numFmt w:val="bullet"/>
      <w:lvlText w:val=""/>
      <w:lvlJc w:val="left"/>
      <w:pPr>
        <w:ind w:left="360" w:hanging="360"/>
      </w:pPr>
      <w:rPr>
        <w:rFonts w:ascii="Symbol" w:hAnsi="Symbol" w:hint="default"/>
      </w:rPr>
    </w:lvl>
    <w:lvl w:ilvl="1" w:tplc="5EA8BAA0" w:tentative="1">
      <w:start w:val="1"/>
      <w:numFmt w:val="bullet"/>
      <w:lvlText w:val="o"/>
      <w:lvlJc w:val="left"/>
      <w:pPr>
        <w:ind w:left="1080" w:hanging="360"/>
      </w:pPr>
      <w:rPr>
        <w:rFonts w:ascii="Courier New" w:hAnsi="Courier New" w:cs="Courier New" w:hint="default"/>
      </w:rPr>
    </w:lvl>
    <w:lvl w:ilvl="2" w:tplc="34BEAE76" w:tentative="1">
      <w:start w:val="1"/>
      <w:numFmt w:val="bullet"/>
      <w:lvlText w:val=""/>
      <w:lvlJc w:val="left"/>
      <w:pPr>
        <w:ind w:left="1800" w:hanging="360"/>
      </w:pPr>
      <w:rPr>
        <w:rFonts w:ascii="Wingdings" w:hAnsi="Wingdings" w:hint="default"/>
      </w:rPr>
    </w:lvl>
    <w:lvl w:ilvl="3" w:tplc="8CC60E36" w:tentative="1">
      <w:start w:val="1"/>
      <w:numFmt w:val="bullet"/>
      <w:lvlText w:val=""/>
      <w:lvlJc w:val="left"/>
      <w:pPr>
        <w:ind w:left="2520" w:hanging="360"/>
      </w:pPr>
      <w:rPr>
        <w:rFonts w:ascii="Symbol" w:hAnsi="Symbol" w:hint="default"/>
      </w:rPr>
    </w:lvl>
    <w:lvl w:ilvl="4" w:tplc="6C30CC60" w:tentative="1">
      <w:start w:val="1"/>
      <w:numFmt w:val="bullet"/>
      <w:lvlText w:val="o"/>
      <w:lvlJc w:val="left"/>
      <w:pPr>
        <w:ind w:left="3240" w:hanging="360"/>
      </w:pPr>
      <w:rPr>
        <w:rFonts w:ascii="Courier New" w:hAnsi="Courier New" w:cs="Courier New" w:hint="default"/>
      </w:rPr>
    </w:lvl>
    <w:lvl w:ilvl="5" w:tplc="1BCCAC1A" w:tentative="1">
      <w:start w:val="1"/>
      <w:numFmt w:val="bullet"/>
      <w:lvlText w:val=""/>
      <w:lvlJc w:val="left"/>
      <w:pPr>
        <w:ind w:left="3960" w:hanging="360"/>
      </w:pPr>
      <w:rPr>
        <w:rFonts w:ascii="Wingdings" w:hAnsi="Wingdings" w:hint="default"/>
      </w:rPr>
    </w:lvl>
    <w:lvl w:ilvl="6" w:tplc="CCBE463A" w:tentative="1">
      <w:start w:val="1"/>
      <w:numFmt w:val="bullet"/>
      <w:lvlText w:val=""/>
      <w:lvlJc w:val="left"/>
      <w:pPr>
        <w:ind w:left="4680" w:hanging="360"/>
      </w:pPr>
      <w:rPr>
        <w:rFonts w:ascii="Symbol" w:hAnsi="Symbol" w:hint="default"/>
      </w:rPr>
    </w:lvl>
    <w:lvl w:ilvl="7" w:tplc="884C5E1E" w:tentative="1">
      <w:start w:val="1"/>
      <w:numFmt w:val="bullet"/>
      <w:lvlText w:val="o"/>
      <w:lvlJc w:val="left"/>
      <w:pPr>
        <w:ind w:left="5400" w:hanging="360"/>
      </w:pPr>
      <w:rPr>
        <w:rFonts w:ascii="Courier New" w:hAnsi="Courier New" w:cs="Courier New" w:hint="default"/>
      </w:rPr>
    </w:lvl>
    <w:lvl w:ilvl="8" w:tplc="0108FA86" w:tentative="1">
      <w:start w:val="1"/>
      <w:numFmt w:val="bullet"/>
      <w:lvlText w:val=""/>
      <w:lvlJc w:val="left"/>
      <w:pPr>
        <w:ind w:left="6120" w:hanging="360"/>
      </w:pPr>
      <w:rPr>
        <w:rFonts w:ascii="Wingdings" w:hAnsi="Wingdings" w:hint="default"/>
      </w:rPr>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AB6951"/>
    <w:multiLevelType w:val="hybridMultilevel"/>
    <w:tmpl w:val="0B02861C"/>
    <w:lvl w:ilvl="0" w:tplc="70D2B2BA">
      <w:start w:val="1"/>
      <w:numFmt w:val="bullet"/>
      <w:lvlText w:val=""/>
      <w:lvlJc w:val="left"/>
      <w:pPr>
        <w:ind w:left="720" w:hanging="360"/>
      </w:pPr>
      <w:rPr>
        <w:rFonts w:ascii="Symbol" w:hAnsi="Symbol" w:hint="default"/>
      </w:rPr>
    </w:lvl>
    <w:lvl w:ilvl="1" w:tplc="0E2275F8" w:tentative="1">
      <w:start w:val="1"/>
      <w:numFmt w:val="bullet"/>
      <w:lvlText w:val="o"/>
      <w:lvlJc w:val="left"/>
      <w:pPr>
        <w:ind w:left="1440" w:hanging="360"/>
      </w:pPr>
      <w:rPr>
        <w:rFonts w:ascii="Courier New" w:hAnsi="Courier New" w:cs="Courier New" w:hint="default"/>
      </w:rPr>
    </w:lvl>
    <w:lvl w:ilvl="2" w:tplc="3B2A4926" w:tentative="1">
      <w:start w:val="1"/>
      <w:numFmt w:val="bullet"/>
      <w:lvlText w:val=""/>
      <w:lvlJc w:val="left"/>
      <w:pPr>
        <w:ind w:left="2160" w:hanging="360"/>
      </w:pPr>
      <w:rPr>
        <w:rFonts w:ascii="Wingdings" w:hAnsi="Wingdings" w:hint="default"/>
      </w:rPr>
    </w:lvl>
    <w:lvl w:ilvl="3" w:tplc="B420B81C" w:tentative="1">
      <w:start w:val="1"/>
      <w:numFmt w:val="bullet"/>
      <w:lvlText w:val=""/>
      <w:lvlJc w:val="left"/>
      <w:pPr>
        <w:ind w:left="2880" w:hanging="360"/>
      </w:pPr>
      <w:rPr>
        <w:rFonts w:ascii="Symbol" w:hAnsi="Symbol" w:hint="default"/>
      </w:rPr>
    </w:lvl>
    <w:lvl w:ilvl="4" w:tplc="9D32EF44" w:tentative="1">
      <w:start w:val="1"/>
      <w:numFmt w:val="bullet"/>
      <w:lvlText w:val="o"/>
      <w:lvlJc w:val="left"/>
      <w:pPr>
        <w:ind w:left="3600" w:hanging="360"/>
      </w:pPr>
      <w:rPr>
        <w:rFonts w:ascii="Courier New" w:hAnsi="Courier New" w:cs="Courier New" w:hint="default"/>
      </w:rPr>
    </w:lvl>
    <w:lvl w:ilvl="5" w:tplc="C99E5C28" w:tentative="1">
      <w:start w:val="1"/>
      <w:numFmt w:val="bullet"/>
      <w:lvlText w:val=""/>
      <w:lvlJc w:val="left"/>
      <w:pPr>
        <w:ind w:left="4320" w:hanging="360"/>
      </w:pPr>
      <w:rPr>
        <w:rFonts w:ascii="Wingdings" w:hAnsi="Wingdings" w:hint="default"/>
      </w:rPr>
    </w:lvl>
    <w:lvl w:ilvl="6" w:tplc="EE7C9F42" w:tentative="1">
      <w:start w:val="1"/>
      <w:numFmt w:val="bullet"/>
      <w:lvlText w:val=""/>
      <w:lvlJc w:val="left"/>
      <w:pPr>
        <w:ind w:left="5040" w:hanging="360"/>
      </w:pPr>
      <w:rPr>
        <w:rFonts w:ascii="Symbol" w:hAnsi="Symbol" w:hint="default"/>
      </w:rPr>
    </w:lvl>
    <w:lvl w:ilvl="7" w:tplc="561623EE" w:tentative="1">
      <w:start w:val="1"/>
      <w:numFmt w:val="bullet"/>
      <w:lvlText w:val="o"/>
      <w:lvlJc w:val="left"/>
      <w:pPr>
        <w:ind w:left="5760" w:hanging="360"/>
      </w:pPr>
      <w:rPr>
        <w:rFonts w:ascii="Courier New" w:hAnsi="Courier New" w:cs="Courier New" w:hint="default"/>
      </w:rPr>
    </w:lvl>
    <w:lvl w:ilvl="8" w:tplc="CB62E436" w:tentative="1">
      <w:start w:val="1"/>
      <w:numFmt w:val="bullet"/>
      <w:lvlText w:val=""/>
      <w:lvlJc w:val="left"/>
      <w:pPr>
        <w:ind w:left="6480" w:hanging="360"/>
      </w:pPr>
      <w:rPr>
        <w:rFonts w:ascii="Wingdings" w:hAnsi="Wingdings" w:hint="default"/>
      </w:rPr>
    </w:lvl>
  </w:abstractNum>
  <w:abstractNum w:abstractNumId="11" w15:restartNumberingAfterBreak="0">
    <w:nsid w:val="467C3E30"/>
    <w:multiLevelType w:val="hybridMultilevel"/>
    <w:tmpl w:val="DCE623FE"/>
    <w:lvl w:ilvl="0" w:tplc="B1EAFCFE">
      <w:start w:val="1"/>
      <w:numFmt w:val="bullet"/>
      <w:pStyle w:val="Bullet"/>
      <w:lvlText w:val=""/>
      <w:lvlJc w:val="left"/>
      <w:pPr>
        <w:ind w:left="720" w:hanging="360"/>
      </w:pPr>
      <w:rPr>
        <w:rFonts w:ascii="Symbol" w:hAnsi="Symbol" w:hint="default"/>
        <w:color w:val="5083C9"/>
      </w:rPr>
    </w:lvl>
    <w:lvl w:ilvl="1" w:tplc="43881B04">
      <w:start w:val="1"/>
      <w:numFmt w:val="bullet"/>
      <w:lvlText w:val="o"/>
      <w:lvlJc w:val="left"/>
      <w:pPr>
        <w:ind w:left="1440" w:hanging="360"/>
      </w:pPr>
      <w:rPr>
        <w:rFonts w:ascii="Courier New" w:hAnsi="Courier New" w:cs="Courier New" w:hint="default"/>
      </w:rPr>
    </w:lvl>
    <w:lvl w:ilvl="2" w:tplc="E534A73A">
      <w:start w:val="1"/>
      <w:numFmt w:val="bullet"/>
      <w:lvlText w:val=""/>
      <w:lvlJc w:val="left"/>
      <w:pPr>
        <w:ind w:left="2160" w:hanging="360"/>
      </w:pPr>
      <w:rPr>
        <w:rFonts w:ascii="Wingdings" w:hAnsi="Wingdings" w:hint="default"/>
      </w:rPr>
    </w:lvl>
    <w:lvl w:ilvl="3" w:tplc="D9202202" w:tentative="1">
      <w:start w:val="1"/>
      <w:numFmt w:val="bullet"/>
      <w:lvlText w:val=""/>
      <w:lvlJc w:val="left"/>
      <w:pPr>
        <w:ind w:left="2880" w:hanging="360"/>
      </w:pPr>
      <w:rPr>
        <w:rFonts w:ascii="Symbol" w:hAnsi="Symbol" w:hint="default"/>
      </w:rPr>
    </w:lvl>
    <w:lvl w:ilvl="4" w:tplc="EAA07DE8" w:tentative="1">
      <w:start w:val="1"/>
      <w:numFmt w:val="bullet"/>
      <w:lvlText w:val="o"/>
      <w:lvlJc w:val="left"/>
      <w:pPr>
        <w:ind w:left="3600" w:hanging="360"/>
      </w:pPr>
      <w:rPr>
        <w:rFonts w:ascii="Courier New" w:hAnsi="Courier New" w:cs="Courier New" w:hint="default"/>
      </w:rPr>
    </w:lvl>
    <w:lvl w:ilvl="5" w:tplc="C74EB986" w:tentative="1">
      <w:start w:val="1"/>
      <w:numFmt w:val="bullet"/>
      <w:lvlText w:val=""/>
      <w:lvlJc w:val="left"/>
      <w:pPr>
        <w:ind w:left="4320" w:hanging="360"/>
      </w:pPr>
      <w:rPr>
        <w:rFonts w:ascii="Wingdings" w:hAnsi="Wingdings" w:hint="default"/>
      </w:rPr>
    </w:lvl>
    <w:lvl w:ilvl="6" w:tplc="D1F8AF20" w:tentative="1">
      <w:start w:val="1"/>
      <w:numFmt w:val="bullet"/>
      <w:lvlText w:val=""/>
      <w:lvlJc w:val="left"/>
      <w:pPr>
        <w:ind w:left="5040" w:hanging="360"/>
      </w:pPr>
      <w:rPr>
        <w:rFonts w:ascii="Symbol" w:hAnsi="Symbol" w:hint="default"/>
      </w:rPr>
    </w:lvl>
    <w:lvl w:ilvl="7" w:tplc="C99624A2" w:tentative="1">
      <w:start w:val="1"/>
      <w:numFmt w:val="bullet"/>
      <w:lvlText w:val="o"/>
      <w:lvlJc w:val="left"/>
      <w:pPr>
        <w:ind w:left="5760" w:hanging="360"/>
      </w:pPr>
      <w:rPr>
        <w:rFonts w:ascii="Courier New" w:hAnsi="Courier New" w:cs="Courier New" w:hint="default"/>
      </w:rPr>
    </w:lvl>
    <w:lvl w:ilvl="8" w:tplc="B9A8F814" w:tentative="1">
      <w:start w:val="1"/>
      <w:numFmt w:val="bullet"/>
      <w:lvlText w:val=""/>
      <w:lvlJc w:val="left"/>
      <w:pPr>
        <w:ind w:left="6480" w:hanging="360"/>
      </w:pPr>
      <w:rPr>
        <w:rFonts w:ascii="Wingdings" w:hAnsi="Wingdings" w:hint="default"/>
      </w:rPr>
    </w:lvl>
  </w:abstractNum>
  <w:abstractNum w:abstractNumId="12" w15:restartNumberingAfterBreak="0">
    <w:nsid w:val="49D40F3B"/>
    <w:multiLevelType w:val="multilevel"/>
    <w:tmpl w:val="B13CDD56"/>
    <w:numStyleLink w:val="BulletedList"/>
  </w:abstractNum>
  <w:abstractNum w:abstractNumId="13" w15:restartNumberingAfterBreak="0">
    <w:nsid w:val="4C8601A1"/>
    <w:multiLevelType w:val="hybridMultilevel"/>
    <w:tmpl w:val="43CE94D6"/>
    <w:lvl w:ilvl="0" w:tplc="828C9782">
      <w:start w:val="1"/>
      <w:numFmt w:val="bullet"/>
      <w:lvlText w:val=""/>
      <w:lvlJc w:val="left"/>
      <w:pPr>
        <w:ind w:left="720" w:hanging="360"/>
      </w:pPr>
      <w:rPr>
        <w:rFonts w:ascii="Symbol" w:hAnsi="Symbol" w:hint="default"/>
      </w:rPr>
    </w:lvl>
    <w:lvl w:ilvl="1" w:tplc="032863C0">
      <w:start w:val="1"/>
      <w:numFmt w:val="bullet"/>
      <w:lvlText w:val="o"/>
      <w:lvlJc w:val="left"/>
      <w:pPr>
        <w:ind w:left="1440" w:hanging="360"/>
      </w:pPr>
      <w:rPr>
        <w:rFonts w:ascii="Courier New" w:hAnsi="Courier New" w:hint="default"/>
      </w:rPr>
    </w:lvl>
    <w:lvl w:ilvl="2" w:tplc="57141A10" w:tentative="1">
      <w:start w:val="1"/>
      <w:numFmt w:val="bullet"/>
      <w:lvlText w:val=""/>
      <w:lvlJc w:val="left"/>
      <w:pPr>
        <w:ind w:left="2160" w:hanging="360"/>
      </w:pPr>
      <w:rPr>
        <w:rFonts w:ascii="Wingdings" w:hAnsi="Wingdings" w:hint="default"/>
      </w:rPr>
    </w:lvl>
    <w:lvl w:ilvl="3" w:tplc="3A7C3236" w:tentative="1">
      <w:start w:val="1"/>
      <w:numFmt w:val="bullet"/>
      <w:lvlText w:val=""/>
      <w:lvlJc w:val="left"/>
      <w:pPr>
        <w:ind w:left="2880" w:hanging="360"/>
      </w:pPr>
      <w:rPr>
        <w:rFonts w:ascii="Symbol" w:hAnsi="Symbol" w:hint="default"/>
      </w:rPr>
    </w:lvl>
    <w:lvl w:ilvl="4" w:tplc="CAD6037E" w:tentative="1">
      <w:start w:val="1"/>
      <w:numFmt w:val="bullet"/>
      <w:lvlText w:val="o"/>
      <w:lvlJc w:val="left"/>
      <w:pPr>
        <w:ind w:left="3600" w:hanging="360"/>
      </w:pPr>
      <w:rPr>
        <w:rFonts w:ascii="Courier New" w:hAnsi="Courier New" w:cs="Courier New" w:hint="default"/>
      </w:rPr>
    </w:lvl>
    <w:lvl w:ilvl="5" w:tplc="3BE076AA" w:tentative="1">
      <w:start w:val="1"/>
      <w:numFmt w:val="bullet"/>
      <w:lvlText w:val=""/>
      <w:lvlJc w:val="left"/>
      <w:pPr>
        <w:ind w:left="4320" w:hanging="360"/>
      </w:pPr>
      <w:rPr>
        <w:rFonts w:ascii="Wingdings" w:hAnsi="Wingdings" w:hint="default"/>
      </w:rPr>
    </w:lvl>
    <w:lvl w:ilvl="6" w:tplc="ECCE20AC" w:tentative="1">
      <w:start w:val="1"/>
      <w:numFmt w:val="bullet"/>
      <w:lvlText w:val=""/>
      <w:lvlJc w:val="left"/>
      <w:pPr>
        <w:ind w:left="5040" w:hanging="360"/>
      </w:pPr>
      <w:rPr>
        <w:rFonts w:ascii="Symbol" w:hAnsi="Symbol" w:hint="default"/>
      </w:rPr>
    </w:lvl>
    <w:lvl w:ilvl="7" w:tplc="B374D626" w:tentative="1">
      <w:start w:val="1"/>
      <w:numFmt w:val="bullet"/>
      <w:lvlText w:val="o"/>
      <w:lvlJc w:val="left"/>
      <w:pPr>
        <w:ind w:left="5760" w:hanging="360"/>
      </w:pPr>
      <w:rPr>
        <w:rFonts w:ascii="Courier New" w:hAnsi="Courier New" w:cs="Courier New" w:hint="default"/>
      </w:rPr>
    </w:lvl>
    <w:lvl w:ilvl="8" w:tplc="107E11B0" w:tentative="1">
      <w:start w:val="1"/>
      <w:numFmt w:val="bullet"/>
      <w:lvlText w:val=""/>
      <w:lvlJc w:val="left"/>
      <w:pPr>
        <w:ind w:left="6480" w:hanging="360"/>
      </w:pPr>
      <w:rPr>
        <w:rFonts w:ascii="Wingdings" w:hAnsi="Wingdings" w:hint="default"/>
      </w:rPr>
    </w:lvl>
  </w:abstractNum>
  <w:abstractNum w:abstractNumId="14" w15:restartNumberingAfterBreak="0">
    <w:nsid w:val="4E624744"/>
    <w:multiLevelType w:val="hybridMultilevel"/>
    <w:tmpl w:val="D67CDEAC"/>
    <w:lvl w:ilvl="0" w:tplc="5F3E4158">
      <w:start w:val="1"/>
      <w:numFmt w:val="bullet"/>
      <w:pStyle w:val="Xbox"/>
      <w:lvlText w:val=""/>
      <w:lvlJc w:val="left"/>
      <w:pPr>
        <w:ind w:left="540" w:hanging="360"/>
      </w:pPr>
      <w:rPr>
        <w:rFonts w:ascii="Wingdings" w:hAnsi="Wingdings" w:hint="default"/>
        <w:color w:val="BD6363"/>
        <w:sz w:val="28"/>
      </w:rPr>
    </w:lvl>
    <w:lvl w:ilvl="1" w:tplc="3460D47A">
      <w:start w:val="1"/>
      <w:numFmt w:val="bullet"/>
      <w:lvlText w:val="o"/>
      <w:lvlJc w:val="left"/>
      <w:pPr>
        <w:ind w:left="1440" w:hanging="360"/>
      </w:pPr>
      <w:rPr>
        <w:rFonts w:ascii="Courier New" w:hAnsi="Courier New" w:cs="Courier New" w:hint="default"/>
      </w:rPr>
    </w:lvl>
    <w:lvl w:ilvl="2" w:tplc="F67CA43A" w:tentative="1">
      <w:start w:val="1"/>
      <w:numFmt w:val="bullet"/>
      <w:lvlText w:val=""/>
      <w:lvlJc w:val="left"/>
      <w:pPr>
        <w:ind w:left="2160" w:hanging="360"/>
      </w:pPr>
      <w:rPr>
        <w:rFonts w:ascii="Wingdings" w:hAnsi="Wingdings" w:hint="default"/>
      </w:rPr>
    </w:lvl>
    <w:lvl w:ilvl="3" w:tplc="BB0C58B8" w:tentative="1">
      <w:start w:val="1"/>
      <w:numFmt w:val="bullet"/>
      <w:lvlText w:val=""/>
      <w:lvlJc w:val="left"/>
      <w:pPr>
        <w:ind w:left="2880" w:hanging="360"/>
      </w:pPr>
      <w:rPr>
        <w:rFonts w:ascii="Symbol" w:hAnsi="Symbol" w:hint="default"/>
      </w:rPr>
    </w:lvl>
    <w:lvl w:ilvl="4" w:tplc="EB4ECFE4" w:tentative="1">
      <w:start w:val="1"/>
      <w:numFmt w:val="bullet"/>
      <w:lvlText w:val="o"/>
      <w:lvlJc w:val="left"/>
      <w:pPr>
        <w:ind w:left="3600" w:hanging="360"/>
      </w:pPr>
      <w:rPr>
        <w:rFonts w:ascii="Courier New" w:hAnsi="Courier New" w:cs="Courier New" w:hint="default"/>
      </w:rPr>
    </w:lvl>
    <w:lvl w:ilvl="5" w:tplc="D9180AD8" w:tentative="1">
      <w:start w:val="1"/>
      <w:numFmt w:val="bullet"/>
      <w:lvlText w:val=""/>
      <w:lvlJc w:val="left"/>
      <w:pPr>
        <w:ind w:left="4320" w:hanging="360"/>
      </w:pPr>
      <w:rPr>
        <w:rFonts w:ascii="Wingdings" w:hAnsi="Wingdings" w:hint="default"/>
      </w:rPr>
    </w:lvl>
    <w:lvl w:ilvl="6" w:tplc="616E4174" w:tentative="1">
      <w:start w:val="1"/>
      <w:numFmt w:val="bullet"/>
      <w:lvlText w:val=""/>
      <w:lvlJc w:val="left"/>
      <w:pPr>
        <w:ind w:left="5040" w:hanging="360"/>
      </w:pPr>
      <w:rPr>
        <w:rFonts w:ascii="Symbol" w:hAnsi="Symbol" w:hint="default"/>
      </w:rPr>
    </w:lvl>
    <w:lvl w:ilvl="7" w:tplc="7E0C289E" w:tentative="1">
      <w:start w:val="1"/>
      <w:numFmt w:val="bullet"/>
      <w:lvlText w:val="o"/>
      <w:lvlJc w:val="left"/>
      <w:pPr>
        <w:ind w:left="5760" w:hanging="360"/>
      </w:pPr>
      <w:rPr>
        <w:rFonts w:ascii="Courier New" w:hAnsi="Courier New" w:cs="Courier New" w:hint="default"/>
      </w:rPr>
    </w:lvl>
    <w:lvl w:ilvl="8" w:tplc="9D50A130" w:tentative="1">
      <w:start w:val="1"/>
      <w:numFmt w:val="bullet"/>
      <w:lvlText w:val=""/>
      <w:lvlJc w:val="left"/>
      <w:pPr>
        <w:ind w:left="6480" w:hanging="360"/>
      </w:pPr>
      <w:rPr>
        <w:rFonts w:ascii="Wingdings" w:hAnsi="Wingdings" w:hint="default"/>
      </w:rPr>
    </w:lvl>
  </w:abstractNum>
  <w:abstractNum w:abstractNumId="15" w15:restartNumberingAfterBreak="0">
    <w:nsid w:val="532E5207"/>
    <w:multiLevelType w:val="multilevel"/>
    <w:tmpl w:val="B13CDD56"/>
    <w:numStyleLink w:val="BulletedList"/>
  </w:abstractNum>
  <w:abstractNum w:abstractNumId="16" w15:restartNumberingAfterBreak="0">
    <w:nsid w:val="5653663D"/>
    <w:multiLevelType w:val="hybridMultilevel"/>
    <w:tmpl w:val="12A82D2E"/>
    <w:lvl w:ilvl="0" w:tplc="2B3CF8E0">
      <w:start w:val="1"/>
      <w:numFmt w:val="bullet"/>
      <w:lvlText w:val=""/>
      <w:lvlJc w:val="left"/>
      <w:pPr>
        <w:ind w:left="720" w:hanging="360"/>
      </w:pPr>
      <w:rPr>
        <w:rFonts w:ascii="Symbol" w:hAnsi="Symbol" w:hint="default"/>
      </w:rPr>
    </w:lvl>
    <w:lvl w:ilvl="1" w:tplc="46A0CC92" w:tentative="1">
      <w:start w:val="1"/>
      <w:numFmt w:val="bullet"/>
      <w:lvlText w:val="o"/>
      <w:lvlJc w:val="left"/>
      <w:pPr>
        <w:ind w:left="1440" w:hanging="360"/>
      </w:pPr>
      <w:rPr>
        <w:rFonts w:ascii="Courier New" w:hAnsi="Courier New" w:cs="Courier New" w:hint="default"/>
      </w:rPr>
    </w:lvl>
    <w:lvl w:ilvl="2" w:tplc="B9BA95EE" w:tentative="1">
      <w:start w:val="1"/>
      <w:numFmt w:val="bullet"/>
      <w:lvlText w:val=""/>
      <w:lvlJc w:val="left"/>
      <w:pPr>
        <w:ind w:left="2160" w:hanging="360"/>
      </w:pPr>
      <w:rPr>
        <w:rFonts w:ascii="Wingdings" w:hAnsi="Wingdings" w:hint="default"/>
      </w:rPr>
    </w:lvl>
    <w:lvl w:ilvl="3" w:tplc="40BE1004" w:tentative="1">
      <w:start w:val="1"/>
      <w:numFmt w:val="bullet"/>
      <w:lvlText w:val=""/>
      <w:lvlJc w:val="left"/>
      <w:pPr>
        <w:ind w:left="2880" w:hanging="360"/>
      </w:pPr>
      <w:rPr>
        <w:rFonts w:ascii="Symbol" w:hAnsi="Symbol" w:hint="default"/>
      </w:rPr>
    </w:lvl>
    <w:lvl w:ilvl="4" w:tplc="A90CD762" w:tentative="1">
      <w:start w:val="1"/>
      <w:numFmt w:val="bullet"/>
      <w:lvlText w:val="o"/>
      <w:lvlJc w:val="left"/>
      <w:pPr>
        <w:ind w:left="3600" w:hanging="360"/>
      </w:pPr>
      <w:rPr>
        <w:rFonts w:ascii="Courier New" w:hAnsi="Courier New" w:cs="Courier New" w:hint="default"/>
      </w:rPr>
    </w:lvl>
    <w:lvl w:ilvl="5" w:tplc="57D4F960" w:tentative="1">
      <w:start w:val="1"/>
      <w:numFmt w:val="bullet"/>
      <w:lvlText w:val=""/>
      <w:lvlJc w:val="left"/>
      <w:pPr>
        <w:ind w:left="4320" w:hanging="360"/>
      </w:pPr>
      <w:rPr>
        <w:rFonts w:ascii="Wingdings" w:hAnsi="Wingdings" w:hint="default"/>
      </w:rPr>
    </w:lvl>
    <w:lvl w:ilvl="6" w:tplc="A3F6BB1C" w:tentative="1">
      <w:start w:val="1"/>
      <w:numFmt w:val="bullet"/>
      <w:lvlText w:val=""/>
      <w:lvlJc w:val="left"/>
      <w:pPr>
        <w:ind w:left="5040" w:hanging="360"/>
      </w:pPr>
      <w:rPr>
        <w:rFonts w:ascii="Symbol" w:hAnsi="Symbol" w:hint="default"/>
      </w:rPr>
    </w:lvl>
    <w:lvl w:ilvl="7" w:tplc="A78C2182" w:tentative="1">
      <w:start w:val="1"/>
      <w:numFmt w:val="bullet"/>
      <w:lvlText w:val="o"/>
      <w:lvlJc w:val="left"/>
      <w:pPr>
        <w:ind w:left="5760" w:hanging="360"/>
      </w:pPr>
      <w:rPr>
        <w:rFonts w:ascii="Courier New" w:hAnsi="Courier New" w:cs="Courier New" w:hint="default"/>
      </w:rPr>
    </w:lvl>
    <w:lvl w:ilvl="8" w:tplc="DA2A052C" w:tentative="1">
      <w:start w:val="1"/>
      <w:numFmt w:val="bullet"/>
      <w:lvlText w:val=""/>
      <w:lvlJc w:val="left"/>
      <w:pPr>
        <w:ind w:left="6480" w:hanging="360"/>
      </w:pPr>
      <w:rPr>
        <w:rFonts w:ascii="Wingdings" w:hAnsi="Wingdings" w:hint="default"/>
      </w:rPr>
    </w:lvl>
  </w:abstractNum>
  <w:abstractNum w:abstractNumId="17" w15:restartNumberingAfterBreak="0">
    <w:nsid w:val="59CF1503"/>
    <w:multiLevelType w:val="hybridMultilevel"/>
    <w:tmpl w:val="7FFC7F5C"/>
    <w:lvl w:ilvl="0" w:tplc="634CCDE8">
      <w:start w:val="1"/>
      <w:numFmt w:val="bullet"/>
      <w:lvlText w:val=""/>
      <w:lvlJc w:val="left"/>
      <w:pPr>
        <w:ind w:left="706" w:hanging="360"/>
      </w:pPr>
      <w:rPr>
        <w:rFonts w:ascii="Symbol" w:hAnsi="Symbol" w:hint="default"/>
      </w:rPr>
    </w:lvl>
    <w:lvl w:ilvl="1" w:tplc="D9DEC96C" w:tentative="1">
      <w:start w:val="1"/>
      <w:numFmt w:val="bullet"/>
      <w:lvlText w:val="o"/>
      <w:lvlJc w:val="left"/>
      <w:pPr>
        <w:ind w:left="1426" w:hanging="360"/>
      </w:pPr>
      <w:rPr>
        <w:rFonts w:ascii="Courier New" w:hAnsi="Courier New" w:cs="Courier New" w:hint="default"/>
      </w:rPr>
    </w:lvl>
    <w:lvl w:ilvl="2" w:tplc="AEEE703E" w:tentative="1">
      <w:start w:val="1"/>
      <w:numFmt w:val="bullet"/>
      <w:lvlText w:val=""/>
      <w:lvlJc w:val="left"/>
      <w:pPr>
        <w:ind w:left="2146" w:hanging="360"/>
      </w:pPr>
      <w:rPr>
        <w:rFonts w:ascii="Wingdings" w:hAnsi="Wingdings" w:hint="default"/>
      </w:rPr>
    </w:lvl>
    <w:lvl w:ilvl="3" w:tplc="5F28F076" w:tentative="1">
      <w:start w:val="1"/>
      <w:numFmt w:val="bullet"/>
      <w:lvlText w:val=""/>
      <w:lvlJc w:val="left"/>
      <w:pPr>
        <w:ind w:left="2866" w:hanging="360"/>
      </w:pPr>
      <w:rPr>
        <w:rFonts w:ascii="Symbol" w:hAnsi="Symbol" w:hint="default"/>
      </w:rPr>
    </w:lvl>
    <w:lvl w:ilvl="4" w:tplc="792E63B4" w:tentative="1">
      <w:start w:val="1"/>
      <w:numFmt w:val="bullet"/>
      <w:lvlText w:val="o"/>
      <w:lvlJc w:val="left"/>
      <w:pPr>
        <w:ind w:left="3586" w:hanging="360"/>
      </w:pPr>
      <w:rPr>
        <w:rFonts w:ascii="Courier New" w:hAnsi="Courier New" w:cs="Courier New" w:hint="default"/>
      </w:rPr>
    </w:lvl>
    <w:lvl w:ilvl="5" w:tplc="7D7C8DC2" w:tentative="1">
      <w:start w:val="1"/>
      <w:numFmt w:val="bullet"/>
      <w:lvlText w:val=""/>
      <w:lvlJc w:val="left"/>
      <w:pPr>
        <w:ind w:left="4306" w:hanging="360"/>
      </w:pPr>
      <w:rPr>
        <w:rFonts w:ascii="Wingdings" w:hAnsi="Wingdings" w:hint="default"/>
      </w:rPr>
    </w:lvl>
    <w:lvl w:ilvl="6" w:tplc="F5BAA358" w:tentative="1">
      <w:start w:val="1"/>
      <w:numFmt w:val="bullet"/>
      <w:lvlText w:val=""/>
      <w:lvlJc w:val="left"/>
      <w:pPr>
        <w:ind w:left="5026" w:hanging="360"/>
      </w:pPr>
      <w:rPr>
        <w:rFonts w:ascii="Symbol" w:hAnsi="Symbol" w:hint="default"/>
      </w:rPr>
    </w:lvl>
    <w:lvl w:ilvl="7" w:tplc="D2D82238" w:tentative="1">
      <w:start w:val="1"/>
      <w:numFmt w:val="bullet"/>
      <w:lvlText w:val="o"/>
      <w:lvlJc w:val="left"/>
      <w:pPr>
        <w:ind w:left="5746" w:hanging="360"/>
      </w:pPr>
      <w:rPr>
        <w:rFonts w:ascii="Courier New" w:hAnsi="Courier New" w:cs="Courier New" w:hint="default"/>
      </w:rPr>
    </w:lvl>
    <w:lvl w:ilvl="8" w:tplc="0CA2032A" w:tentative="1">
      <w:start w:val="1"/>
      <w:numFmt w:val="bullet"/>
      <w:lvlText w:val=""/>
      <w:lvlJc w:val="left"/>
      <w:pPr>
        <w:ind w:left="6466" w:hanging="360"/>
      </w:pPr>
      <w:rPr>
        <w:rFonts w:ascii="Wingdings" w:hAnsi="Wingdings" w:hint="default"/>
      </w:rPr>
    </w:lvl>
  </w:abstractNum>
  <w:abstractNum w:abstractNumId="18" w15:restartNumberingAfterBreak="0">
    <w:nsid w:val="69EF42DF"/>
    <w:multiLevelType w:val="hybridMultilevel"/>
    <w:tmpl w:val="4008BEF4"/>
    <w:lvl w:ilvl="0" w:tplc="FE34A8A2">
      <w:start w:val="1"/>
      <w:numFmt w:val="bullet"/>
      <w:lvlText w:val=""/>
      <w:lvlJc w:val="left"/>
      <w:pPr>
        <w:ind w:left="720" w:hanging="360"/>
      </w:pPr>
      <w:rPr>
        <w:rFonts w:ascii="Symbol" w:hAnsi="Symbol" w:hint="default"/>
      </w:rPr>
    </w:lvl>
    <w:lvl w:ilvl="1" w:tplc="D3BC6776" w:tentative="1">
      <w:start w:val="1"/>
      <w:numFmt w:val="bullet"/>
      <w:lvlText w:val="o"/>
      <w:lvlJc w:val="left"/>
      <w:pPr>
        <w:ind w:left="1440" w:hanging="360"/>
      </w:pPr>
      <w:rPr>
        <w:rFonts w:ascii="Courier New" w:hAnsi="Courier New" w:cs="Courier New" w:hint="default"/>
      </w:rPr>
    </w:lvl>
    <w:lvl w:ilvl="2" w:tplc="7AEE955A" w:tentative="1">
      <w:start w:val="1"/>
      <w:numFmt w:val="bullet"/>
      <w:lvlText w:val=""/>
      <w:lvlJc w:val="left"/>
      <w:pPr>
        <w:ind w:left="2160" w:hanging="360"/>
      </w:pPr>
      <w:rPr>
        <w:rFonts w:ascii="Wingdings" w:hAnsi="Wingdings" w:hint="default"/>
      </w:rPr>
    </w:lvl>
    <w:lvl w:ilvl="3" w:tplc="1840978A" w:tentative="1">
      <w:start w:val="1"/>
      <w:numFmt w:val="bullet"/>
      <w:lvlText w:val=""/>
      <w:lvlJc w:val="left"/>
      <w:pPr>
        <w:ind w:left="2880" w:hanging="360"/>
      </w:pPr>
      <w:rPr>
        <w:rFonts w:ascii="Symbol" w:hAnsi="Symbol" w:hint="default"/>
      </w:rPr>
    </w:lvl>
    <w:lvl w:ilvl="4" w:tplc="34D09084" w:tentative="1">
      <w:start w:val="1"/>
      <w:numFmt w:val="bullet"/>
      <w:lvlText w:val="o"/>
      <w:lvlJc w:val="left"/>
      <w:pPr>
        <w:ind w:left="3600" w:hanging="360"/>
      </w:pPr>
      <w:rPr>
        <w:rFonts w:ascii="Courier New" w:hAnsi="Courier New" w:cs="Courier New" w:hint="default"/>
      </w:rPr>
    </w:lvl>
    <w:lvl w:ilvl="5" w:tplc="96E4326A" w:tentative="1">
      <w:start w:val="1"/>
      <w:numFmt w:val="bullet"/>
      <w:lvlText w:val=""/>
      <w:lvlJc w:val="left"/>
      <w:pPr>
        <w:ind w:left="4320" w:hanging="360"/>
      </w:pPr>
      <w:rPr>
        <w:rFonts w:ascii="Wingdings" w:hAnsi="Wingdings" w:hint="default"/>
      </w:rPr>
    </w:lvl>
    <w:lvl w:ilvl="6" w:tplc="582034A2" w:tentative="1">
      <w:start w:val="1"/>
      <w:numFmt w:val="bullet"/>
      <w:lvlText w:val=""/>
      <w:lvlJc w:val="left"/>
      <w:pPr>
        <w:ind w:left="5040" w:hanging="360"/>
      </w:pPr>
      <w:rPr>
        <w:rFonts w:ascii="Symbol" w:hAnsi="Symbol" w:hint="default"/>
      </w:rPr>
    </w:lvl>
    <w:lvl w:ilvl="7" w:tplc="928ECA38" w:tentative="1">
      <w:start w:val="1"/>
      <w:numFmt w:val="bullet"/>
      <w:lvlText w:val="o"/>
      <w:lvlJc w:val="left"/>
      <w:pPr>
        <w:ind w:left="5760" w:hanging="360"/>
      </w:pPr>
      <w:rPr>
        <w:rFonts w:ascii="Courier New" w:hAnsi="Courier New" w:cs="Courier New" w:hint="default"/>
      </w:rPr>
    </w:lvl>
    <w:lvl w:ilvl="8" w:tplc="5E043FB8" w:tentative="1">
      <w:start w:val="1"/>
      <w:numFmt w:val="bullet"/>
      <w:lvlText w:val=""/>
      <w:lvlJc w:val="left"/>
      <w:pPr>
        <w:ind w:left="6480" w:hanging="360"/>
      </w:pPr>
      <w:rPr>
        <w:rFonts w:ascii="Wingdings" w:hAnsi="Wingdings" w:hint="default"/>
      </w:rPr>
    </w:lvl>
  </w:abstractNum>
  <w:abstractNum w:abstractNumId="19" w15:restartNumberingAfterBreak="0">
    <w:nsid w:val="730B4ECD"/>
    <w:multiLevelType w:val="hybridMultilevel"/>
    <w:tmpl w:val="6C406044"/>
    <w:lvl w:ilvl="0" w:tplc="6FDA7A2A">
      <w:start w:val="1"/>
      <w:numFmt w:val="bullet"/>
      <w:pStyle w:val="BulletlistHighlight"/>
      <w:lvlText w:val=""/>
      <w:lvlJc w:val="left"/>
      <w:pPr>
        <w:ind w:left="288" w:hanging="288"/>
      </w:pPr>
      <w:rPr>
        <w:rFonts w:ascii="Symbol" w:hAnsi="Symbol" w:hint="default"/>
      </w:rPr>
    </w:lvl>
    <w:lvl w:ilvl="1" w:tplc="23A26270">
      <w:start w:val="1"/>
      <w:numFmt w:val="bullet"/>
      <w:lvlText w:val="o"/>
      <w:lvlJc w:val="left"/>
      <w:pPr>
        <w:ind w:left="576" w:hanging="216"/>
      </w:pPr>
      <w:rPr>
        <w:rFonts w:ascii="Courier New" w:hAnsi="Courier New" w:hint="default"/>
      </w:rPr>
    </w:lvl>
    <w:lvl w:ilvl="2" w:tplc="BC7A2B4E">
      <w:start w:val="1"/>
      <w:numFmt w:val="bullet"/>
      <w:lvlText w:val=""/>
      <w:lvlJc w:val="left"/>
      <w:pPr>
        <w:ind w:left="864" w:hanging="216"/>
      </w:pPr>
      <w:rPr>
        <w:rFonts w:ascii="Wingdings" w:hAnsi="Wingdings" w:hint="default"/>
      </w:rPr>
    </w:lvl>
    <w:lvl w:ilvl="3" w:tplc="9F46B6DE" w:tentative="1">
      <w:start w:val="1"/>
      <w:numFmt w:val="bullet"/>
      <w:lvlText w:val=""/>
      <w:lvlJc w:val="left"/>
      <w:pPr>
        <w:ind w:left="2880" w:hanging="360"/>
      </w:pPr>
      <w:rPr>
        <w:rFonts w:ascii="Symbol" w:hAnsi="Symbol" w:hint="default"/>
      </w:rPr>
    </w:lvl>
    <w:lvl w:ilvl="4" w:tplc="FC667874" w:tentative="1">
      <w:start w:val="1"/>
      <w:numFmt w:val="bullet"/>
      <w:lvlText w:val="o"/>
      <w:lvlJc w:val="left"/>
      <w:pPr>
        <w:ind w:left="3600" w:hanging="360"/>
      </w:pPr>
      <w:rPr>
        <w:rFonts w:ascii="Courier New" w:hAnsi="Courier New" w:cs="Courier New" w:hint="default"/>
      </w:rPr>
    </w:lvl>
    <w:lvl w:ilvl="5" w:tplc="703640CA" w:tentative="1">
      <w:start w:val="1"/>
      <w:numFmt w:val="bullet"/>
      <w:lvlText w:val=""/>
      <w:lvlJc w:val="left"/>
      <w:pPr>
        <w:ind w:left="4320" w:hanging="360"/>
      </w:pPr>
      <w:rPr>
        <w:rFonts w:ascii="Wingdings" w:hAnsi="Wingdings" w:hint="default"/>
      </w:rPr>
    </w:lvl>
    <w:lvl w:ilvl="6" w:tplc="140A4C46" w:tentative="1">
      <w:start w:val="1"/>
      <w:numFmt w:val="bullet"/>
      <w:lvlText w:val=""/>
      <w:lvlJc w:val="left"/>
      <w:pPr>
        <w:ind w:left="5040" w:hanging="360"/>
      </w:pPr>
      <w:rPr>
        <w:rFonts w:ascii="Symbol" w:hAnsi="Symbol" w:hint="default"/>
      </w:rPr>
    </w:lvl>
    <w:lvl w:ilvl="7" w:tplc="90AC903E" w:tentative="1">
      <w:start w:val="1"/>
      <w:numFmt w:val="bullet"/>
      <w:lvlText w:val="o"/>
      <w:lvlJc w:val="left"/>
      <w:pPr>
        <w:ind w:left="5760" w:hanging="360"/>
      </w:pPr>
      <w:rPr>
        <w:rFonts w:ascii="Courier New" w:hAnsi="Courier New" w:cs="Courier New" w:hint="default"/>
      </w:rPr>
    </w:lvl>
    <w:lvl w:ilvl="8" w:tplc="098A6986" w:tentative="1">
      <w:start w:val="1"/>
      <w:numFmt w:val="bullet"/>
      <w:lvlText w:val=""/>
      <w:lvlJc w:val="left"/>
      <w:pPr>
        <w:ind w:left="6480" w:hanging="360"/>
      </w:pPr>
      <w:rPr>
        <w:rFonts w:ascii="Wingdings" w:hAnsi="Wingdings" w:hint="default"/>
      </w:rPr>
    </w:lvl>
  </w:abstractNum>
  <w:abstractNum w:abstractNumId="20" w15:restartNumberingAfterBreak="0">
    <w:nsid w:val="74912014"/>
    <w:multiLevelType w:val="hybridMultilevel"/>
    <w:tmpl w:val="96747874"/>
    <w:lvl w:ilvl="0" w:tplc="9DD455B6">
      <w:start w:val="1"/>
      <w:numFmt w:val="bullet"/>
      <w:pStyle w:val="Bullets"/>
      <w:lvlText w:val=""/>
      <w:lvlJc w:val="left"/>
      <w:pPr>
        <w:ind w:left="720" w:hanging="360"/>
      </w:pPr>
      <w:rPr>
        <w:rFonts w:ascii="Symbol" w:hAnsi="Symbol" w:hint="default"/>
        <w:b/>
        <w:color w:val="595959"/>
      </w:rPr>
    </w:lvl>
    <w:lvl w:ilvl="1" w:tplc="9A3EB186" w:tentative="1">
      <w:start w:val="1"/>
      <w:numFmt w:val="bullet"/>
      <w:lvlText w:val="o"/>
      <w:lvlJc w:val="left"/>
      <w:pPr>
        <w:ind w:left="1440" w:hanging="360"/>
      </w:pPr>
      <w:rPr>
        <w:rFonts w:ascii="Courier New" w:hAnsi="Courier New" w:cs="Courier New" w:hint="default"/>
      </w:rPr>
    </w:lvl>
    <w:lvl w:ilvl="2" w:tplc="06E61530" w:tentative="1">
      <w:start w:val="1"/>
      <w:numFmt w:val="bullet"/>
      <w:lvlText w:val=""/>
      <w:lvlJc w:val="left"/>
      <w:pPr>
        <w:ind w:left="2160" w:hanging="360"/>
      </w:pPr>
      <w:rPr>
        <w:rFonts w:ascii="Wingdings" w:hAnsi="Wingdings" w:hint="default"/>
      </w:rPr>
    </w:lvl>
    <w:lvl w:ilvl="3" w:tplc="1ABE3BE2" w:tentative="1">
      <w:start w:val="1"/>
      <w:numFmt w:val="bullet"/>
      <w:lvlText w:val=""/>
      <w:lvlJc w:val="left"/>
      <w:pPr>
        <w:ind w:left="2880" w:hanging="360"/>
      </w:pPr>
      <w:rPr>
        <w:rFonts w:ascii="Symbol" w:hAnsi="Symbol" w:hint="default"/>
      </w:rPr>
    </w:lvl>
    <w:lvl w:ilvl="4" w:tplc="CB7283A0" w:tentative="1">
      <w:start w:val="1"/>
      <w:numFmt w:val="bullet"/>
      <w:lvlText w:val="o"/>
      <w:lvlJc w:val="left"/>
      <w:pPr>
        <w:ind w:left="3600" w:hanging="360"/>
      </w:pPr>
      <w:rPr>
        <w:rFonts w:ascii="Courier New" w:hAnsi="Courier New" w:cs="Courier New" w:hint="default"/>
      </w:rPr>
    </w:lvl>
    <w:lvl w:ilvl="5" w:tplc="092E8FBE" w:tentative="1">
      <w:start w:val="1"/>
      <w:numFmt w:val="bullet"/>
      <w:lvlText w:val=""/>
      <w:lvlJc w:val="left"/>
      <w:pPr>
        <w:ind w:left="4320" w:hanging="360"/>
      </w:pPr>
      <w:rPr>
        <w:rFonts w:ascii="Wingdings" w:hAnsi="Wingdings" w:hint="default"/>
      </w:rPr>
    </w:lvl>
    <w:lvl w:ilvl="6" w:tplc="D674A90C" w:tentative="1">
      <w:start w:val="1"/>
      <w:numFmt w:val="bullet"/>
      <w:lvlText w:val=""/>
      <w:lvlJc w:val="left"/>
      <w:pPr>
        <w:ind w:left="5040" w:hanging="360"/>
      </w:pPr>
      <w:rPr>
        <w:rFonts w:ascii="Symbol" w:hAnsi="Symbol" w:hint="default"/>
      </w:rPr>
    </w:lvl>
    <w:lvl w:ilvl="7" w:tplc="A3903FAA" w:tentative="1">
      <w:start w:val="1"/>
      <w:numFmt w:val="bullet"/>
      <w:lvlText w:val="o"/>
      <w:lvlJc w:val="left"/>
      <w:pPr>
        <w:ind w:left="5760" w:hanging="360"/>
      </w:pPr>
      <w:rPr>
        <w:rFonts w:ascii="Courier New" w:hAnsi="Courier New" w:cs="Courier New" w:hint="default"/>
      </w:rPr>
    </w:lvl>
    <w:lvl w:ilvl="8" w:tplc="C33A04AE" w:tentative="1">
      <w:start w:val="1"/>
      <w:numFmt w:val="bullet"/>
      <w:lvlText w:val=""/>
      <w:lvlJc w:val="left"/>
      <w:pPr>
        <w:ind w:left="6480" w:hanging="360"/>
      </w:pPr>
      <w:rPr>
        <w:rFonts w:ascii="Wingdings" w:hAnsi="Wingdings" w:hint="default"/>
      </w:rPr>
    </w:lvl>
  </w:abstractNum>
  <w:abstractNum w:abstractNumId="21" w15:restartNumberingAfterBreak="0">
    <w:nsid w:val="7E09014B"/>
    <w:multiLevelType w:val="hybridMultilevel"/>
    <w:tmpl w:val="32684AF6"/>
    <w:lvl w:ilvl="0" w:tplc="610EAB54">
      <w:start w:val="1"/>
      <w:numFmt w:val="bullet"/>
      <w:lvlText w:val=""/>
      <w:lvlJc w:val="left"/>
      <w:pPr>
        <w:ind w:left="720" w:hanging="360"/>
      </w:pPr>
      <w:rPr>
        <w:rFonts w:ascii="Symbol" w:hAnsi="Symbol" w:hint="default"/>
      </w:rPr>
    </w:lvl>
    <w:lvl w:ilvl="1" w:tplc="58B81E3E" w:tentative="1">
      <w:start w:val="1"/>
      <w:numFmt w:val="bullet"/>
      <w:lvlText w:val="o"/>
      <w:lvlJc w:val="left"/>
      <w:pPr>
        <w:ind w:left="1440" w:hanging="360"/>
      </w:pPr>
      <w:rPr>
        <w:rFonts w:ascii="Courier New" w:hAnsi="Courier New" w:cs="Courier New" w:hint="default"/>
      </w:rPr>
    </w:lvl>
    <w:lvl w:ilvl="2" w:tplc="B28676C2" w:tentative="1">
      <w:start w:val="1"/>
      <w:numFmt w:val="bullet"/>
      <w:lvlText w:val=""/>
      <w:lvlJc w:val="left"/>
      <w:pPr>
        <w:ind w:left="2160" w:hanging="360"/>
      </w:pPr>
      <w:rPr>
        <w:rFonts w:ascii="Wingdings" w:hAnsi="Wingdings" w:hint="default"/>
      </w:rPr>
    </w:lvl>
    <w:lvl w:ilvl="3" w:tplc="918C39D2" w:tentative="1">
      <w:start w:val="1"/>
      <w:numFmt w:val="bullet"/>
      <w:lvlText w:val=""/>
      <w:lvlJc w:val="left"/>
      <w:pPr>
        <w:ind w:left="2880" w:hanging="360"/>
      </w:pPr>
      <w:rPr>
        <w:rFonts w:ascii="Symbol" w:hAnsi="Symbol" w:hint="default"/>
      </w:rPr>
    </w:lvl>
    <w:lvl w:ilvl="4" w:tplc="9A8202D6" w:tentative="1">
      <w:start w:val="1"/>
      <w:numFmt w:val="bullet"/>
      <w:lvlText w:val="o"/>
      <w:lvlJc w:val="left"/>
      <w:pPr>
        <w:ind w:left="3600" w:hanging="360"/>
      </w:pPr>
      <w:rPr>
        <w:rFonts w:ascii="Courier New" w:hAnsi="Courier New" w:cs="Courier New" w:hint="default"/>
      </w:rPr>
    </w:lvl>
    <w:lvl w:ilvl="5" w:tplc="408CAD24" w:tentative="1">
      <w:start w:val="1"/>
      <w:numFmt w:val="bullet"/>
      <w:lvlText w:val=""/>
      <w:lvlJc w:val="left"/>
      <w:pPr>
        <w:ind w:left="4320" w:hanging="360"/>
      </w:pPr>
      <w:rPr>
        <w:rFonts w:ascii="Wingdings" w:hAnsi="Wingdings" w:hint="default"/>
      </w:rPr>
    </w:lvl>
    <w:lvl w:ilvl="6" w:tplc="E12863E2" w:tentative="1">
      <w:start w:val="1"/>
      <w:numFmt w:val="bullet"/>
      <w:lvlText w:val=""/>
      <w:lvlJc w:val="left"/>
      <w:pPr>
        <w:ind w:left="5040" w:hanging="360"/>
      </w:pPr>
      <w:rPr>
        <w:rFonts w:ascii="Symbol" w:hAnsi="Symbol" w:hint="default"/>
      </w:rPr>
    </w:lvl>
    <w:lvl w:ilvl="7" w:tplc="670211AA" w:tentative="1">
      <w:start w:val="1"/>
      <w:numFmt w:val="bullet"/>
      <w:lvlText w:val="o"/>
      <w:lvlJc w:val="left"/>
      <w:pPr>
        <w:ind w:left="5760" w:hanging="360"/>
      </w:pPr>
      <w:rPr>
        <w:rFonts w:ascii="Courier New" w:hAnsi="Courier New" w:cs="Courier New" w:hint="default"/>
      </w:rPr>
    </w:lvl>
    <w:lvl w:ilvl="8" w:tplc="0DA035F6"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4"/>
  </w:num>
  <w:num w:numId="5">
    <w:abstractNumId w:val="19"/>
  </w:num>
  <w:num w:numId="6">
    <w:abstractNumId w:val="9"/>
  </w:num>
  <w:num w:numId="7">
    <w:abstractNumId w:val="2"/>
  </w:num>
  <w:num w:numId="8">
    <w:abstractNumId w:val="12"/>
  </w:num>
  <w:num w:numId="9">
    <w:abstractNumId w:val="15"/>
  </w:num>
  <w:num w:numId="10">
    <w:abstractNumId w:val="11"/>
  </w:num>
  <w:num w:numId="11">
    <w:abstractNumId w:val="20"/>
  </w:num>
  <w:num w:numId="12">
    <w:abstractNumId w:val="3"/>
  </w:num>
  <w:num w:numId="13">
    <w:abstractNumId w:val="10"/>
  </w:num>
  <w:num w:numId="14">
    <w:abstractNumId w:val="17"/>
  </w:num>
  <w:num w:numId="15">
    <w:abstractNumId w:val="5"/>
  </w:num>
  <w:num w:numId="16">
    <w:abstractNumId w:val="18"/>
  </w:num>
  <w:num w:numId="17">
    <w:abstractNumId w:val="6"/>
  </w:num>
  <w:num w:numId="18">
    <w:abstractNumId w:val="8"/>
  </w:num>
  <w:num w:numId="19">
    <w:abstractNumId w:val="21"/>
  </w:num>
  <w:num w:numId="20">
    <w:abstractNumId w:val="16"/>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90"/>
    <w:rsid w:val="000847AD"/>
    <w:rsid w:val="00090473"/>
    <w:rsid w:val="000C09F2"/>
    <w:rsid w:val="000F5552"/>
    <w:rsid w:val="000F6497"/>
    <w:rsid w:val="0012162D"/>
    <w:rsid w:val="001327E9"/>
    <w:rsid w:val="00151112"/>
    <w:rsid w:val="0016683E"/>
    <w:rsid w:val="00171781"/>
    <w:rsid w:val="001725D9"/>
    <w:rsid w:val="0019038E"/>
    <w:rsid w:val="00197A9E"/>
    <w:rsid w:val="001B1A7E"/>
    <w:rsid w:val="001B5774"/>
    <w:rsid w:val="00235733"/>
    <w:rsid w:val="0024208C"/>
    <w:rsid w:val="00244584"/>
    <w:rsid w:val="0026000D"/>
    <w:rsid w:val="00273C41"/>
    <w:rsid w:val="00282C22"/>
    <w:rsid w:val="002C215D"/>
    <w:rsid w:val="002F02F6"/>
    <w:rsid w:val="00311E37"/>
    <w:rsid w:val="003243B0"/>
    <w:rsid w:val="003267EB"/>
    <w:rsid w:val="00326C45"/>
    <w:rsid w:val="00345178"/>
    <w:rsid w:val="0035530B"/>
    <w:rsid w:val="0037553A"/>
    <w:rsid w:val="00377AA8"/>
    <w:rsid w:val="003A6B72"/>
    <w:rsid w:val="003C10A8"/>
    <w:rsid w:val="00441851"/>
    <w:rsid w:val="00444A5A"/>
    <w:rsid w:val="00484002"/>
    <w:rsid w:val="00485C3A"/>
    <w:rsid w:val="0049027B"/>
    <w:rsid w:val="004967FA"/>
    <w:rsid w:val="004A65E6"/>
    <w:rsid w:val="004B125C"/>
    <w:rsid w:val="004C2F9B"/>
    <w:rsid w:val="004D0349"/>
    <w:rsid w:val="004F3C17"/>
    <w:rsid w:val="00526C74"/>
    <w:rsid w:val="00534014"/>
    <w:rsid w:val="00572860"/>
    <w:rsid w:val="005806E6"/>
    <w:rsid w:val="00584B55"/>
    <w:rsid w:val="005A5BCC"/>
    <w:rsid w:val="005B447C"/>
    <w:rsid w:val="005D05D9"/>
    <w:rsid w:val="005E4D2F"/>
    <w:rsid w:val="005E5147"/>
    <w:rsid w:val="00655733"/>
    <w:rsid w:val="0067568B"/>
    <w:rsid w:val="00677DD4"/>
    <w:rsid w:val="006A4CCA"/>
    <w:rsid w:val="006B2E3A"/>
    <w:rsid w:val="006D0148"/>
    <w:rsid w:val="006E3B62"/>
    <w:rsid w:val="00707343"/>
    <w:rsid w:val="007201D3"/>
    <w:rsid w:val="00731A58"/>
    <w:rsid w:val="007367A6"/>
    <w:rsid w:val="00761944"/>
    <w:rsid w:val="00764A90"/>
    <w:rsid w:val="00791640"/>
    <w:rsid w:val="007F7199"/>
    <w:rsid w:val="007F7440"/>
    <w:rsid w:val="00802FF0"/>
    <w:rsid w:val="00807762"/>
    <w:rsid w:val="00817EEE"/>
    <w:rsid w:val="008254B5"/>
    <w:rsid w:val="00826394"/>
    <w:rsid w:val="00844896"/>
    <w:rsid w:val="0084543D"/>
    <w:rsid w:val="00896299"/>
    <w:rsid w:val="008A7E71"/>
    <w:rsid w:val="008C01A9"/>
    <w:rsid w:val="008C3FE0"/>
    <w:rsid w:val="008C4D53"/>
    <w:rsid w:val="008C539C"/>
    <w:rsid w:val="008F109D"/>
    <w:rsid w:val="008F26CB"/>
    <w:rsid w:val="008F7B15"/>
    <w:rsid w:val="00926535"/>
    <w:rsid w:val="00947E11"/>
    <w:rsid w:val="00957814"/>
    <w:rsid w:val="00960533"/>
    <w:rsid w:val="0098636D"/>
    <w:rsid w:val="00993033"/>
    <w:rsid w:val="009A663E"/>
    <w:rsid w:val="009D4BB6"/>
    <w:rsid w:val="009E4DC9"/>
    <w:rsid w:val="009F3CA3"/>
    <w:rsid w:val="00A3266C"/>
    <w:rsid w:val="00A337BD"/>
    <w:rsid w:val="00A357CD"/>
    <w:rsid w:val="00A41984"/>
    <w:rsid w:val="00A46068"/>
    <w:rsid w:val="00A47C53"/>
    <w:rsid w:val="00A62BE1"/>
    <w:rsid w:val="00A83C9F"/>
    <w:rsid w:val="00A95ADA"/>
    <w:rsid w:val="00AD0649"/>
    <w:rsid w:val="00B27C10"/>
    <w:rsid w:val="00B34A25"/>
    <w:rsid w:val="00B727AD"/>
    <w:rsid w:val="00BC32B1"/>
    <w:rsid w:val="00BD6D90"/>
    <w:rsid w:val="00BF11FD"/>
    <w:rsid w:val="00C73DB9"/>
    <w:rsid w:val="00C84C66"/>
    <w:rsid w:val="00C9359B"/>
    <w:rsid w:val="00CA2D1F"/>
    <w:rsid w:val="00CB6777"/>
    <w:rsid w:val="00CF5E21"/>
    <w:rsid w:val="00D033D5"/>
    <w:rsid w:val="00D379D5"/>
    <w:rsid w:val="00D76FCB"/>
    <w:rsid w:val="00D8467E"/>
    <w:rsid w:val="00DA5B1C"/>
    <w:rsid w:val="00DB123E"/>
    <w:rsid w:val="00DC3880"/>
    <w:rsid w:val="00DC5D90"/>
    <w:rsid w:val="00E1422E"/>
    <w:rsid w:val="00E16E6C"/>
    <w:rsid w:val="00E16FF3"/>
    <w:rsid w:val="00E6115F"/>
    <w:rsid w:val="00E80A5C"/>
    <w:rsid w:val="00EA2BB6"/>
    <w:rsid w:val="00EC1229"/>
    <w:rsid w:val="00EC2053"/>
    <w:rsid w:val="00EF5623"/>
    <w:rsid w:val="00EF7BE8"/>
    <w:rsid w:val="00F021E9"/>
    <w:rsid w:val="00F132A3"/>
    <w:rsid w:val="00F474DA"/>
    <w:rsid w:val="00FD61EC"/>
    <w:rsid w:val="00FD7DAA"/>
    <w:rsid w:val="00FF3F30"/>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53F6"/>
  <w15:chartTrackingRefBased/>
  <w15:docId w15:val="{E9A5371B-3DD4-442F-8FB9-34E34C52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E80A5C"/>
    <w:rPr>
      <w:color w:val="605E5C"/>
      <w:shd w:val="clear" w:color="auto" w:fill="E1DFDD"/>
    </w:rPr>
  </w:style>
  <w:style w:type="paragraph" w:customStyle="1" w:styleId="Bullets">
    <w:name w:val="Bullets"/>
    <w:basedOn w:val="BodyText"/>
    <w:link w:val="BulletsChar"/>
    <w:qFormat/>
    <w:rsid w:val="007F7440"/>
    <w:pPr>
      <w:numPr>
        <w:numId w:val="11"/>
      </w:numPr>
      <w:spacing w:before="120" w:after="240"/>
    </w:pPr>
  </w:style>
  <w:style w:type="character" w:customStyle="1" w:styleId="BulletsChar">
    <w:name w:val="Bullets Char"/>
    <w:link w:val="Bullets"/>
    <w:rsid w:val="007F7440"/>
    <w:rPr>
      <w:rFonts w:ascii="Calibri" w:eastAsia="Times New Roman" w:hAnsi="Calibri" w:cs="Arial"/>
      <w:color w:val="595959"/>
      <w:szCs w:val="20"/>
    </w:rPr>
  </w:style>
  <w:style w:type="character" w:styleId="FollowedHyperlink">
    <w:name w:val="FollowedHyperlink"/>
    <w:basedOn w:val="DefaultParagraphFont"/>
    <w:uiPriority w:val="99"/>
    <w:semiHidden/>
    <w:unhideWhenUsed/>
    <w:rsid w:val="007F7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l.gov/agencies/ebsa/employers-and-advisers/plan-administration-and-compliance/health-plans" TargetMode="External"/><Relationship Id="rId18" Type="http://schemas.openxmlformats.org/officeDocument/2006/relationships/hyperlink" Target="https://www.dol.gov/agencies/ebsa/laws-and-regulations/laws/affordable-care-act/for-employers-and-advisers/grandfathered-healthplans" TargetMode="External"/><Relationship Id="rId26" Type="http://schemas.openxmlformats.org/officeDocument/2006/relationships/hyperlink" Target="https://www.dol.gov/agencies/ebsa/employers-and-advisers/plan-administration-and-compliance/reporting-and-filing/form-5500" TargetMode="External"/><Relationship Id="rId39" Type="http://schemas.openxmlformats.org/officeDocument/2006/relationships/hyperlink" Target="https://www.dol.gov/sites/dolgov/files/ebsa/laws-and-regulations/rules-and-regulations/completed-rulemaking/1210-AB87/individual-coverage-model-notice.docx" TargetMode="External"/><Relationship Id="rId3" Type="http://schemas.openxmlformats.org/officeDocument/2006/relationships/settings" Target="settings.xml"/><Relationship Id="rId21" Type="http://schemas.openxmlformats.org/officeDocument/2006/relationships/hyperlink" Target="https://www.irs.gov/Forms-&amp;-Pubs" TargetMode="External"/><Relationship Id="rId34" Type="http://schemas.openxmlformats.org/officeDocument/2006/relationships/hyperlink" Target="https://www.dol.gov/agencies/ebsa/employers-and-advisers/plan-administration-and-compliance/health-plans/notice-of-research-exception-under-gina" TargetMode="External"/><Relationship Id="rId42" Type="http://schemas.openxmlformats.org/officeDocument/2006/relationships/hyperlink" Target="http://www.cms.gov/CreditableCoverage/08_CCafterJanuary1.asp"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ms.gov/Medicare/Prescription-Drug-Coverage/CreditableCoverage/index" TargetMode="External"/><Relationship Id="rId17" Type="http://schemas.openxmlformats.org/officeDocument/2006/relationships/footer" Target="footer1.xml"/><Relationship Id="rId25" Type="http://schemas.openxmlformats.org/officeDocument/2006/relationships/hyperlink" Target="https://www.dol.gov/agencies/ebsa/laws-and-regulations/laws/cobra" TargetMode="External"/><Relationship Id="rId33" Type="http://schemas.openxmlformats.org/officeDocument/2006/relationships/hyperlink" Target="https://www1.eeoc.gov/employers/poster.cfm" TargetMode="External"/><Relationship Id="rId38" Type="http://schemas.openxmlformats.org/officeDocument/2006/relationships/hyperlink" Target="https://www.dol.gov/agencies/ebsa/laws-and-regulations/laws/chipr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dol.gov/agencies/ebsa/laws-and-regulations/laws/affordable-care-act/for-employers-and-advisers/summary-of-benefits" TargetMode="External"/><Relationship Id="rId29" Type="http://schemas.openxmlformats.org/officeDocument/2006/relationships/hyperlink" Target="https://www.irs.gov/forms-pubs/about-form-8928" TargetMode="External"/><Relationship Id="rId41" Type="http://schemas.openxmlformats.org/officeDocument/2006/relationships/hyperlink" Target="https://www.cms.gov/Medicare/Prescription-Drug-Coverage/CreditableCoverage/CCDisclosureFor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orms-instructions" TargetMode="External"/><Relationship Id="rId24" Type="http://schemas.openxmlformats.org/officeDocument/2006/relationships/hyperlink" Target="https://www.dol.gov/agencies/ebsa/laws-and-regulations/laws/cobra" TargetMode="External"/><Relationship Id="rId32" Type="http://schemas.openxmlformats.org/officeDocument/2006/relationships/hyperlink" Target="http://www.dol.gov/whd/forms/WH-382.pdf" TargetMode="External"/><Relationship Id="rId37" Type="http://schemas.openxmlformats.org/officeDocument/2006/relationships/hyperlink" Target="http://www.hhs.gov/ocr/privacy/hipaa/modelnotices.html" TargetMode="External"/><Relationship Id="rId40" Type="http://schemas.openxmlformats.org/officeDocument/2006/relationships/hyperlink" Target="http://www.cms.gov/creditablecoverage/"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ms.gov/Medicare/Prescription-Drug-Coverage/CreditableCoverage/index" TargetMode="External"/><Relationship Id="rId23" Type="http://schemas.openxmlformats.org/officeDocument/2006/relationships/hyperlink" Target="https://www.eeoc.gov/laws/regulations/ada-wellness-notice.cfm" TargetMode="External"/><Relationship Id="rId28" Type="http://schemas.openxmlformats.org/officeDocument/2006/relationships/hyperlink" Target="https://www.dol.gov/sites/dolgov/files/EBSA/employers-and-advisers/plan-administration-and-compliance/form-sar-welfare-plan.docx" TargetMode="External"/><Relationship Id="rId36" Type="http://schemas.openxmlformats.org/officeDocument/2006/relationships/hyperlink" Target="https://www.dol.gov/sites/dolgov/files/EBSA/about-ebsa/our-activities/resource-center/publications/compliance-assistance-guide-appendix-c.pdf" TargetMode="External"/><Relationship Id="rId10" Type="http://schemas.openxmlformats.org/officeDocument/2006/relationships/hyperlink" Target="https://www.dol.gov/agencies/ebsa/employers-and-advisers/plan-administration-and-compliance/health-plans" TargetMode="External"/><Relationship Id="rId19" Type="http://schemas.openxmlformats.org/officeDocument/2006/relationships/hyperlink" Target="https://www.dol.gov/agencies/ebsa/laws-and-regulations/laws/affordable-care-act/for-employers-and-advisers/preexisting-condition-exclusions" TargetMode="External"/><Relationship Id="rId31" Type="http://schemas.openxmlformats.org/officeDocument/2006/relationships/hyperlink" Target="http://www.dol.gov/whd/forms/WH-381.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rs.gov/forms-instructions" TargetMode="External"/><Relationship Id="rId22" Type="http://schemas.openxmlformats.org/officeDocument/2006/relationships/hyperlink" Target="https://www.dol.gov/agencies/ebsa/laws-and-regulations/laws/affordable-care-act/for-employers-and-advisers/coverage-options-notice" TargetMode="External"/><Relationship Id="rId27" Type="http://schemas.openxmlformats.org/officeDocument/2006/relationships/hyperlink" Target="https://www.dol.gov/agencies/ebsa/laws-and-regulations/laws/affordable-care-act/for-employers-and-advisers/mewas" TargetMode="External"/><Relationship Id="rId30" Type="http://schemas.openxmlformats.org/officeDocument/2006/relationships/hyperlink" Target="http://www.dol.gov/whd/regs/compliance/posters/fmlaen.pdf" TargetMode="External"/><Relationship Id="rId35" Type="http://schemas.openxmlformats.org/officeDocument/2006/relationships/hyperlink" Target="https://www.law.cornell.edu/cfr/text/29/1635.8" TargetMode="External"/><Relationship Id="rId43" Type="http://schemas.openxmlformats.org/officeDocument/2006/relationships/hyperlink" Target="https://www.dol.gov/sites/dolgov/files/EBSA/about-ebsa/our-activities/resource-center/publications/compliance-assistance-guide-appendix-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Caitlin Hillenbrand</cp:lastModifiedBy>
  <cp:revision>2</cp:revision>
  <dcterms:created xsi:type="dcterms:W3CDTF">2020-12-02T00:26:00Z</dcterms:created>
  <dcterms:modified xsi:type="dcterms:W3CDTF">2020-12-02T00:26:00Z</dcterms:modified>
</cp:coreProperties>
</file>