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68137" w14:textId="71C87B41" w:rsidR="00777DD9" w:rsidRDefault="00495870" w:rsidP="007201D3">
      <w:pPr>
        <w:pStyle w:val="BodyText"/>
        <w:sectPr w:rsidR="00777DD9" w:rsidSect="009C43ED">
          <w:headerReference w:type="default" r:id="rId8"/>
          <w:footerReference w:type="default" r:id="rId9"/>
          <w:pgSz w:w="12240" w:h="15840"/>
          <w:pgMar w:top="4410" w:right="720" w:bottom="1800" w:left="720" w:header="720" w:footer="720" w:gutter="0"/>
          <w:cols w:space="720"/>
          <w:docGrid w:linePitch="360"/>
        </w:sectPr>
      </w:pPr>
      <w:r>
        <w:rPr>
          <w:noProof/>
        </w:rPr>
        <w:drawing>
          <wp:anchor distT="0" distB="0" distL="114300" distR="114300" simplePos="0" relativeHeight="251658240" behindDoc="0" locked="1" layoutInCell="1" allowOverlap="1" wp14:anchorId="27A8F7B7" wp14:editId="4857F7C1">
            <wp:simplePos x="0" y="0"/>
            <wp:positionH relativeFrom="margin">
              <wp:posOffset>4889500</wp:posOffset>
            </wp:positionH>
            <wp:positionV relativeFrom="margin">
              <wp:posOffset>5715000</wp:posOffset>
            </wp:positionV>
            <wp:extent cx="1645920" cy="1120140"/>
            <wp:effectExtent l="0" t="0" r="0" b="0"/>
            <wp:wrapNone/>
            <wp:docPr id="8" name="Picture 7"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oker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11201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822960" distL="365760" distR="182880" simplePos="0" relativeHeight="251661312" behindDoc="1" locked="0" layoutInCell="1" allowOverlap="1" wp14:anchorId="18340093" wp14:editId="516E3C74">
                <wp:simplePos x="0" y="0"/>
                <wp:positionH relativeFrom="column">
                  <wp:posOffset>4495800</wp:posOffset>
                </wp:positionH>
                <wp:positionV relativeFrom="page">
                  <wp:posOffset>3080385</wp:posOffset>
                </wp:positionV>
                <wp:extent cx="2480945" cy="5312410"/>
                <wp:effectExtent l="0" t="3810" r="0" b="0"/>
                <wp:wrapSquare wrapText="bothSides"/>
                <wp:docPr id="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80945" cy="531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ADA0532" w14:textId="15F7849F" w:rsidR="00777DD9" w:rsidRDefault="00495870" w:rsidP="000D733F">
                            <w:r>
                              <w:rPr>
                                <w:noProof/>
                                <w:vertAlign w:val="subscript"/>
                              </w:rPr>
                              <w:drawing>
                                <wp:inline distT="0" distB="0" distL="0" distR="0" wp14:anchorId="66C97231" wp14:editId="06D0DE94">
                                  <wp:extent cx="2228850" cy="38100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381000"/>
                                          </a:xfrm>
                                          <a:prstGeom prst="rect">
                                            <a:avLst/>
                                          </a:prstGeom>
                                          <a:noFill/>
                                          <a:ln>
                                            <a:noFill/>
                                          </a:ln>
                                        </pic:spPr>
                                      </pic:pic>
                                    </a:graphicData>
                                  </a:graphic>
                                </wp:inline>
                              </w:drawing>
                            </w:r>
                          </w:p>
                          <w:p w14:paraId="79063152" w14:textId="77777777" w:rsidR="00777DD9" w:rsidRPr="00F06BC9" w:rsidRDefault="00495870" w:rsidP="007B119E">
                            <w:pPr>
                              <w:pStyle w:val="H-Heading"/>
                            </w:pPr>
                            <w:r>
                              <w:t>COBRA Basics</w:t>
                            </w:r>
                          </w:p>
                          <w:p w14:paraId="7D9F05AE" w14:textId="77777777" w:rsidR="007B119E" w:rsidRDefault="00495870" w:rsidP="007B119E">
                            <w:pPr>
                              <w:pStyle w:val="H-Bulletlist"/>
                            </w:pPr>
                            <w:r>
                              <w:t>COBRA allows certai</w:t>
                            </w:r>
                            <w:r>
                              <w:t>n employees, spouses and dependents to temporarily continue their health coverage at group rates.</w:t>
                            </w:r>
                          </w:p>
                          <w:p w14:paraId="58A9DDD2" w14:textId="77777777" w:rsidR="00D046E7" w:rsidRPr="00F06BC9" w:rsidRDefault="00495870" w:rsidP="00F06BC9">
                            <w:pPr>
                              <w:pStyle w:val="H-Bulletlist"/>
                            </w:pPr>
                            <w:r>
                              <w:t>COBRA coverage must be the same as the coverage that is available to similarly situated active employees who are not receiving COBRA benefits.</w:t>
                            </w:r>
                          </w:p>
                          <w:p w14:paraId="07AF93A4" w14:textId="77777777" w:rsidR="00777DD9" w:rsidRPr="000D733F" w:rsidRDefault="00495870" w:rsidP="0091138D">
                            <w:pPr>
                              <w:pStyle w:val="H-Heading"/>
                            </w:pPr>
                            <w:r>
                              <w:t>Compliance Tips</w:t>
                            </w:r>
                          </w:p>
                          <w:p w14:paraId="75BF9F97" w14:textId="77777777" w:rsidR="007B119E" w:rsidRDefault="00495870" w:rsidP="007B119E">
                            <w:pPr>
                              <w:pStyle w:val="H-Text"/>
                            </w:pPr>
                            <w:r>
                              <w:t>Avoid common compliance mistakes by:</w:t>
                            </w:r>
                          </w:p>
                          <w:p w14:paraId="535A59B8" w14:textId="77777777" w:rsidR="007B119E" w:rsidRDefault="00495870" w:rsidP="00E15691">
                            <w:pPr>
                              <w:pStyle w:val="H-Bulletlist"/>
                            </w:pPr>
                            <w:r>
                              <w:t>Determining if COBRA applies to your health plan;</w:t>
                            </w:r>
                          </w:p>
                          <w:p w14:paraId="4C30B70B" w14:textId="77777777" w:rsidR="007B119E" w:rsidRDefault="00495870" w:rsidP="00706FA1">
                            <w:pPr>
                              <w:pStyle w:val="H-Bulletlist"/>
                            </w:pPr>
                            <w:r>
                              <w:t>Knowing which events trigger the req</w:t>
                            </w:r>
                            <w:r w:rsidR="003A7025">
                              <w:t>uirement to offer COBRA</w:t>
                            </w:r>
                            <w:r>
                              <w:t>;</w:t>
                            </w:r>
                          </w:p>
                          <w:p w14:paraId="03EAFA9D" w14:textId="77777777" w:rsidR="007B119E" w:rsidRDefault="00495870" w:rsidP="00706FA1">
                            <w:pPr>
                              <w:pStyle w:val="H-Bulletlist"/>
                            </w:pPr>
                            <w:r>
                              <w:t>Providing the required COBRA notices on a timely basis; and</w:t>
                            </w:r>
                          </w:p>
                          <w:p w14:paraId="689D15CD" w14:textId="77777777" w:rsidR="00777DD9" w:rsidRPr="0074776E" w:rsidRDefault="00495870" w:rsidP="007B119E">
                            <w:pPr>
                              <w:pStyle w:val="H-Bulletlist"/>
                            </w:pPr>
                            <w:r>
                              <w:t xml:space="preserve">Establishing payment procedures </w:t>
                            </w:r>
                            <w:r>
                              <w:t>for COBRA premiums</w:t>
                            </w:r>
                          </w:p>
                          <w:p w14:paraId="6D5A3F39" w14:textId="77777777" w:rsidR="00777DD9" w:rsidRPr="002632CA" w:rsidRDefault="00777DD9" w:rsidP="002632CA">
                            <w:pPr>
                              <w:pStyle w:val="Style1"/>
                              <w:spacing w:after="0"/>
                              <w:rPr>
                                <w:sz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340093" id="_x0000_t202" coordsize="21600,21600" o:spt="202" path="m,l,21600r21600,l21600,xe">
                <v:stroke joinstyle="miter"/>
                <v:path gradientshapeok="t" o:connecttype="rect"/>
              </v:shapetype>
              <v:shape id="Text Box 122" o:spid="_x0000_s1026" type="#_x0000_t202" style="position:absolute;left:0;text-align:left;margin-left:354pt;margin-top:242.55pt;width:195.35pt;height:418.3pt;z-index:-251655168;visibility:visible;mso-wrap-style:square;mso-width-percent:0;mso-height-percent:0;mso-wrap-distance-left:28.8pt;mso-wrap-distance-top:0;mso-wrap-distance-right:14.4pt;mso-wrap-distance-bottom:64.8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" filled="f" stroked="f" strokeweight=".5pt">
                <v:path arrowok="t"/>
                <v:textbox>
                  <w:txbxContent>
                    <w:p w14:paraId="5ADA0532" w14:textId="15F7849F" w:rsidR="00777DD9" w:rsidRDefault="00495870" w:rsidP="000D733F">
                      <w:r>
                        <w:rPr>
                          <w:noProof/>
                          <w:vertAlign w:val="subscript"/>
                        </w:rPr>
                        <w:drawing>
                          <wp:inline distT="0" distB="0" distL="0" distR="0" wp14:anchorId="66C97231" wp14:editId="06D0DE94">
                            <wp:extent cx="2228850" cy="38100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381000"/>
                                    </a:xfrm>
                                    <a:prstGeom prst="rect">
                                      <a:avLst/>
                                    </a:prstGeom>
                                    <a:noFill/>
                                    <a:ln>
                                      <a:noFill/>
                                    </a:ln>
                                  </pic:spPr>
                                </pic:pic>
                              </a:graphicData>
                            </a:graphic>
                          </wp:inline>
                        </w:drawing>
                      </w:r>
                    </w:p>
                    <w:p w14:paraId="79063152" w14:textId="77777777" w:rsidR="00777DD9" w:rsidRPr="00F06BC9" w:rsidRDefault="00495870" w:rsidP="007B119E">
                      <w:pPr>
                        <w:pStyle w:val="H-Heading"/>
                      </w:pPr>
                      <w:r>
                        <w:t>COBRA Basics</w:t>
                      </w:r>
                    </w:p>
                    <w:p w14:paraId="7D9F05AE" w14:textId="77777777" w:rsidR="007B119E" w:rsidRDefault="00495870" w:rsidP="007B119E">
                      <w:pPr>
                        <w:pStyle w:val="H-Bulletlist"/>
                      </w:pPr>
                      <w:r>
                        <w:t>COBRA allows certai</w:t>
                      </w:r>
                      <w:r>
                        <w:t>n employees, spouses and dependents to temporarily continue their health coverage at group rates.</w:t>
                      </w:r>
                    </w:p>
                    <w:p w14:paraId="58A9DDD2" w14:textId="77777777" w:rsidR="00D046E7" w:rsidRPr="00F06BC9" w:rsidRDefault="00495870" w:rsidP="00F06BC9">
                      <w:pPr>
                        <w:pStyle w:val="H-Bulletlist"/>
                      </w:pPr>
                      <w:r>
                        <w:t>COBRA coverage must be the same as the coverage that is available to similarly situated active employees who are not receiving COBRA benefits.</w:t>
                      </w:r>
                    </w:p>
                    <w:p w14:paraId="07AF93A4" w14:textId="77777777" w:rsidR="00777DD9" w:rsidRPr="000D733F" w:rsidRDefault="00495870" w:rsidP="0091138D">
                      <w:pPr>
                        <w:pStyle w:val="H-Heading"/>
                      </w:pPr>
                      <w:r>
                        <w:t>Compliance Tips</w:t>
                      </w:r>
                    </w:p>
                    <w:p w14:paraId="75BF9F97" w14:textId="77777777" w:rsidR="007B119E" w:rsidRDefault="00495870" w:rsidP="007B119E">
                      <w:pPr>
                        <w:pStyle w:val="H-Text"/>
                      </w:pPr>
                      <w:r>
                        <w:t>Avoid common compliance mistakes by:</w:t>
                      </w:r>
                    </w:p>
                    <w:p w14:paraId="535A59B8" w14:textId="77777777" w:rsidR="007B119E" w:rsidRDefault="00495870" w:rsidP="00E15691">
                      <w:pPr>
                        <w:pStyle w:val="H-Bulletlist"/>
                      </w:pPr>
                      <w:r>
                        <w:t>Determining if COBRA applies to your health plan;</w:t>
                      </w:r>
                    </w:p>
                    <w:p w14:paraId="4C30B70B" w14:textId="77777777" w:rsidR="007B119E" w:rsidRDefault="00495870" w:rsidP="00706FA1">
                      <w:pPr>
                        <w:pStyle w:val="H-Bulletlist"/>
                      </w:pPr>
                      <w:r>
                        <w:t>Knowing which events trigger the req</w:t>
                      </w:r>
                      <w:r w:rsidR="003A7025">
                        <w:t>uirement to offer COBRA</w:t>
                      </w:r>
                      <w:r>
                        <w:t>;</w:t>
                      </w:r>
                    </w:p>
                    <w:p w14:paraId="03EAFA9D" w14:textId="77777777" w:rsidR="007B119E" w:rsidRDefault="00495870" w:rsidP="00706FA1">
                      <w:pPr>
                        <w:pStyle w:val="H-Bulletlist"/>
                      </w:pPr>
                      <w:r>
                        <w:t>Providing the required COBRA notices on a timely basis; and</w:t>
                      </w:r>
                    </w:p>
                    <w:p w14:paraId="689D15CD" w14:textId="77777777" w:rsidR="00777DD9" w:rsidRPr="0074776E" w:rsidRDefault="00495870" w:rsidP="007B119E">
                      <w:pPr>
                        <w:pStyle w:val="H-Bulletlist"/>
                      </w:pPr>
                      <w:r>
                        <w:t xml:space="preserve">Establishing payment procedures </w:t>
                      </w:r>
                      <w:r>
                        <w:t>for COBRA premiums</w:t>
                      </w:r>
                    </w:p>
                    <w:p w14:paraId="6D5A3F39" w14:textId="77777777" w:rsidR="00777DD9" w:rsidRPr="002632CA" w:rsidRDefault="00777DD9" w:rsidP="002632CA">
                      <w:pPr>
                        <w:pStyle w:val="Style1"/>
                        <w:spacing w:after="0"/>
                        <w:rPr>
                          <w:sz w:val="12"/>
                        </w:rPr>
                      </w:pPr>
                    </w:p>
                  </w:txbxContent>
                </v:textbox>
                <w10:wrap type="square" anchory="page"/>
              </v:shape>
            </w:pict>
          </mc:Fallback>
        </mc:AlternateContent>
      </w:r>
      <w:r>
        <w:rPr>
          <w:noProof/>
        </w:rPr>
        <mc:AlternateContent>
          <mc:Choice Requires="wps">
            <w:drawing>
              <wp:anchor distT="0" distB="0" distL="114300" distR="114300" simplePos="0" relativeHeight="251660288" behindDoc="0" locked="0" layoutInCell="1" allowOverlap="1" wp14:anchorId="1E06B9C2" wp14:editId="5A4238FC">
                <wp:simplePos x="0" y="0"/>
                <wp:positionH relativeFrom="column">
                  <wp:posOffset>-74930</wp:posOffset>
                </wp:positionH>
                <wp:positionV relativeFrom="paragraph">
                  <wp:posOffset>-20320</wp:posOffset>
                </wp:positionV>
                <wp:extent cx="4480560" cy="504190"/>
                <wp:effectExtent l="1270" t="0" r="4445" b="190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FF4AB61" w14:textId="77777777" w:rsidR="009C43ED" w:rsidRPr="00E00FF6" w:rsidRDefault="00495870" w:rsidP="00E00FF6">
                            <w:pPr>
                              <w:pStyle w:val="MergeField"/>
                              <w:rPr>
                                <w:rStyle w:val="Strong"/>
                                <w:color w:val="4884A2"/>
                              </w:rPr>
                            </w:pPr>
                            <w:r w:rsidRPr="00E00FF6">
                              <w:rPr>
                                <w:rStyle w:val="Strong"/>
                                <w:color w:val="4884A2"/>
                              </w:rPr>
                              <w:t>Provided by AHT Insurance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 w14:anchorId="1E06B9C2" id="Text Box 1" o:spid="_x0000_s1027" type="#_x0000_t202" style="position:absolute;left:0;text-align:left;margin-left:-5.9pt;margin-top:-1.6pt;width:352.8pt;height:3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" filled="f" stroked="f" strokeweight=".5pt">
                <v:textbox style="mso-fit-shape-to-text:t">
                  <w:txbxContent>
                    <w:p w14:paraId="1FF4AB61" w14:textId="77777777" w:rsidR="009C43ED" w:rsidRPr="00E00FF6" w:rsidRDefault="00495870" w:rsidP="00E00FF6">
                      <w:pPr>
                        <w:pStyle w:val="MergeField"/>
                        <w:rPr>
                          <w:rStyle w:val="Strong"/>
                          <w:color w:val="4884A2"/>
                        </w:rPr>
                      </w:pPr>
                      <w:r w:rsidRPr="00E00FF6">
                        <w:rPr>
                          <w:rStyle w:val="Strong"/>
                          <w:color w:val="4884A2"/>
                        </w:rPr>
                        <w:t>Provided by AHT Insurance</w:t>
                      </w:r>
                    </w:p>
                  </w:txbxContent>
                </v:textbox>
              </v:shape>
            </w:pict>
          </mc:Fallback>
        </mc:AlternateContent>
      </w:r>
    </w:p>
    <w:p w14:paraId="55C80ED2" w14:textId="77777777" w:rsidR="00A22068" w:rsidRPr="00E00FF6" w:rsidRDefault="00495870" w:rsidP="007B119E">
      <w:pPr>
        <w:pStyle w:val="Title"/>
        <w:spacing w:line="168" w:lineRule="auto"/>
      </w:pPr>
      <w:r>
        <w:t>COBRA Continuation Coverage</w:t>
      </w:r>
    </w:p>
    <w:p w14:paraId="76ED6115" w14:textId="77777777" w:rsidR="007B119E" w:rsidRDefault="00495870" w:rsidP="003A7025">
      <w:pPr>
        <w:pStyle w:val="BodyText"/>
        <w:spacing w:before="200"/>
      </w:pPr>
      <w:r>
        <w:t xml:space="preserve">The Consolidated Omnibus Budget Reconciliation Act (COBRA) allows individuals to continue their group health plan coverage in certain situations. Specifically, COBRA </w:t>
      </w:r>
      <w:r>
        <w:t>requires group health plans to offer continuation coverage to covered employees and dependents when coverage would otherwise be lost due to certain specific events.</w:t>
      </w:r>
    </w:p>
    <w:p w14:paraId="0BB257D2" w14:textId="77777777" w:rsidR="007B119E" w:rsidRDefault="00495870" w:rsidP="003A7025">
      <w:pPr>
        <w:pStyle w:val="BodyText"/>
        <w:spacing w:before="200"/>
      </w:pPr>
      <w:r>
        <w:t>These events include the death of a covered employee, termination or a reduction in the hou</w:t>
      </w:r>
      <w:r>
        <w:t>rs of a covered employee's employment, divorce of a covered employee and spouse, and a child's loss of dependent status under the plan.</w:t>
      </w:r>
    </w:p>
    <w:p w14:paraId="53DFCA10" w14:textId="1754720E" w:rsidR="00777DD9" w:rsidRDefault="00495870" w:rsidP="003A7025">
      <w:pPr>
        <w:pStyle w:val="BodyText"/>
        <w:spacing w:before="200"/>
      </w:pPr>
      <w:r>
        <w:rPr>
          <w:noProof/>
        </w:rPr>
        <mc:AlternateContent>
          <mc:Choice Requires="wps">
            <w:drawing>
              <wp:anchor distT="0" distB="0" distL="114300" distR="114300" simplePos="0" relativeHeight="251659264" behindDoc="0" locked="0" layoutInCell="1" allowOverlap="1" wp14:anchorId="0310FD5B" wp14:editId="05653950">
                <wp:simplePos x="0" y="0"/>
                <wp:positionH relativeFrom="column">
                  <wp:posOffset>17780</wp:posOffset>
                </wp:positionH>
                <wp:positionV relativeFrom="page">
                  <wp:posOffset>6905625</wp:posOffset>
                </wp:positionV>
                <wp:extent cx="4114800" cy="1658620"/>
                <wp:effectExtent l="8255" t="0" r="1270" b="8255"/>
                <wp:wrapTopAndBottom/>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658620"/>
                        </a:xfrm>
                        <a:prstGeom prst="rect">
                          <a:avLst/>
                        </a:prstGeom>
                        <a:solidFill>
                          <a:srgbClr val="82B0CC">
                            <a:alpha val="2000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FC99092" w14:textId="77777777" w:rsidR="00D8497C" w:rsidRPr="007201D3" w:rsidRDefault="00495870" w:rsidP="007201D3">
                            <w:pPr>
                              <w:pStyle w:val="LR-Heading"/>
                            </w:pPr>
                            <w:r w:rsidRPr="007201D3">
                              <w:t>Links and Resources</w:t>
                            </w:r>
                          </w:p>
                          <w:p w14:paraId="02BC1466" w14:textId="77777777" w:rsidR="007B119E" w:rsidRDefault="00495870" w:rsidP="007B119E">
                            <w:pPr>
                              <w:pStyle w:val="LR-BulletList"/>
                            </w:pPr>
                            <w:r>
                              <w:t xml:space="preserve">The Department of Labor’s (DOL) COBRA </w:t>
                            </w:r>
                            <w:hyperlink r:id="rId12" w:history="1">
                              <w:r w:rsidRPr="007B119E">
                                <w:rPr>
                                  <w:rStyle w:val="Hyperlink"/>
                                </w:rPr>
                                <w:t>webpage</w:t>
                              </w:r>
                            </w:hyperlink>
                          </w:p>
                          <w:p w14:paraId="04673AFD" w14:textId="77777777" w:rsidR="007B119E" w:rsidRDefault="00495870" w:rsidP="007B119E">
                            <w:pPr>
                              <w:pStyle w:val="LR-BulletList"/>
                            </w:pPr>
                            <w:hyperlink r:id="rId13" w:history="1">
                              <w:r w:rsidR="0042553F" w:rsidRPr="007B119E">
                                <w:rPr>
                                  <w:rStyle w:val="Hyperlink"/>
                                </w:rPr>
                                <w:t>An Employer’s Guide to Group Health Continuation Coverage Under COBRA</w:t>
                              </w:r>
                            </w:hyperlink>
                            <w:r w:rsidR="0042553F" w:rsidRPr="007B119E">
                              <w:t>—</w:t>
                            </w:r>
                            <w:r w:rsidR="0042553F">
                              <w:t>DOL resource</w:t>
                            </w:r>
                          </w:p>
                          <w:p w14:paraId="074EBCA8" w14:textId="77777777" w:rsidR="00D56AE4" w:rsidRPr="003A7025" w:rsidRDefault="00495870" w:rsidP="00432124">
                            <w:pPr>
                              <w:pStyle w:val="LR-BulletList"/>
                            </w:pPr>
                            <w:r>
                              <w:t>The DOL’s model COBRA forms</w:t>
                            </w:r>
                            <w:r w:rsidRPr="007B119E">
                              <w:t>—</w:t>
                            </w:r>
                            <w:hyperlink r:id="rId14" w:history="1">
                              <w:r w:rsidRPr="003A7025">
                                <w:rPr>
                                  <w:rStyle w:val="Hyperlink"/>
                                </w:rPr>
                                <w:t>Model General Notice</w:t>
                              </w:r>
                            </w:hyperlink>
                            <w:r w:rsidRPr="003A7025">
                              <w:t xml:space="preserve"> and </w:t>
                            </w:r>
                            <w:hyperlink r:id="rId15" w:history="1">
                              <w:r w:rsidRPr="003A7025">
                                <w:rPr>
                                  <w:rStyle w:val="Hyperlink"/>
                                </w:rPr>
                                <w:t>Model Election Notice</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10FD5B" id="Text Box 65" o:spid="_x0000_s1028" type="#_x0000_t202" style="position:absolute;left:0;text-align:left;margin-left:1.4pt;margin-top:543.75pt;width:324pt;height:1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" fillcolor="#82b0cc" stroked="f" strokeweight=".5pt">
                <v:fill opacity="13107f"/>
                <v:textbox>
                  <w:txbxContent>
                    <w:p w14:paraId="4FC99092" w14:textId="77777777" w:rsidR="00D8497C" w:rsidRPr="007201D3" w:rsidRDefault="00495870" w:rsidP="007201D3">
                      <w:pPr>
                        <w:pStyle w:val="LR-Heading"/>
                      </w:pPr>
                      <w:r w:rsidRPr="007201D3">
                        <w:t>Links and Resources</w:t>
                      </w:r>
                    </w:p>
                    <w:p w14:paraId="02BC1466" w14:textId="77777777" w:rsidR="007B119E" w:rsidRDefault="00495870" w:rsidP="007B119E">
                      <w:pPr>
                        <w:pStyle w:val="LR-BulletList"/>
                      </w:pPr>
                      <w:r>
                        <w:t xml:space="preserve">The Department of Labor’s (DOL) COBRA </w:t>
                      </w:r>
                      <w:hyperlink r:id="rId16" w:history="1">
                        <w:r w:rsidRPr="007B119E">
                          <w:rPr>
                            <w:rStyle w:val="Hyperlink"/>
                          </w:rPr>
                          <w:t>webpage</w:t>
                        </w:r>
                      </w:hyperlink>
                    </w:p>
                    <w:p w14:paraId="04673AFD" w14:textId="77777777" w:rsidR="007B119E" w:rsidRDefault="00495870" w:rsidP="007B119E">
                      <w:pPr>
                        <w:pStyle w:val="LR-BulletList"/>
                      </w:pPr>
                      <w:hyperlink r:id="rId17" w:history="1">
                        <w:r w:rsidR="0042553F" w:rsidRPr="007B119E">
                          <w:rPr>
                            <w:rStyle w:val="Hyperlink"/>
                          </w:rPr>
                          <w:t>An Employer’s Guide to Group Health Continuation Coverage Under COBRA</w:t>
                        </w:r>
                      </w:hyperlink>
                      <w:r w:rsidR="0042553F" w:rsidRPr="007B119E">
                        <w:t>—</w:t>
                      </w:r>
                      <w:r w:rsidR="0042553F">
                        <w:t>DOL resource</w:t>
                      </w:r>
                    </w:p>
                    <w:p w14:paraId="074EBCA8" w14:textId="77777777" w:rsidR="00D56AE4" w:rsidRPr="003A7025" w:rsidRDefault="00495870" w:rsidP="00432124">
                      <w:pPr>
                        <w:pStyle w:val="LR-BulletList"/>
                      </w:pPr>
                      <w:r>
                        <w:t>The DOL’s model COBRA forms</w:t>
                      </w:r>
                      <w:r w:rsidRPr="007B119E">
                        <w:t>—</w:t>
                      </w:r>
                      <w:hyperlink r:id="rId18" w:history="1">
                        <w:r w:rsidRPr="003A7025">
                          <w:rPr>
                            <w:rStyle w:val="Hyperlink"/>
                          </w:rPr>
                          <w:t>Model General Notice</w:t>
                        </w:r>
                      </w:hyperlink>
                      <w:r w:rsidRPr="003A7025">
                        <w:t xml:space="preserve"> and </w:t>
                      </w:r>
                      <w:hyperlink r:id="rId19" w:history="1">
                        <w:r w:rsidRPr="003A7025">
                          <w:rPr>
                            <w:rStyle w:val="Hyperlink"/>
                          </w:rPr>
                          <w:t>Model Election Notice</w:t>
                        </w:r>
                      </w:hyperlink>
                    </w:p>
                  </w:txbxContent>
                </v:textbox>
                <w10:wrap type="topAndBottom" anchory="page"/>
              </v:shape>
            </w:pict>
          </mc:Fallback>
        </mc:AlternateContent>
      </w:r>
      <w:r w:rsidR="0042553F">
        <w:t>COBRA sets rules for how and when continuation coverage must be offered and provided, how employees and their families may elect continuation coverage and when continuation coverage may be terminated.</w:t>
      </w:r>
      <w:r>
        <w:t xml:space="preserve"> </w:t>
      </w:r>
      <w:r w:rsidR="0042553F">
        <w:t>Employers may require individuals to pay for COBRA coverage. Group health coverage for COBRA participants is usually more expensive than coverage for active employees, since many employers pay a part of the premium for active employees.</w:t>
      </w:r>
    </w:p>
    <w:p w14:paraId="4B57992F" w14:textId="77777777" w:rsidR="007414C5" w:rsidRDefault="007414C5" w:rsidP="007201D3">
      <w:pPr>
        <w:pStyle w:val="BodyText"/>
      </w:pPr>
    </w:p>
    <w:p w14:paraId="7A9C83F3" w14:textId="77777777" w:rsidR="003A7025" w:rsidRDefault="003A7025" w:rsidP="007201D3">
      <w:pPr>
        <w:pStyle w:val="BodyText"/>
        <w:sectPr w:rsidR="003A7025" w:rsidSect="00451D29">
          <w:headerReference w:type="default" r:id="rId20"/>
          <w:footerReference w:type="default" r:id="rId21"/>
          <w:type w:val="continuous"/>
          <w:pgSz w:w="12240" w:h="15840"/>
          <w:pgMar w:top="1620" w:right="720" w:bottom="720" w:left="720" w:header="720" w:footer="389" w:gutter="0"/>
          <w:cols w:space="720"/>
          <w:docGrid w:linePitch="360"/>
        </w:sectPr>
      </w:pPr>
    </w:p>
    <w:p w14:paraId="617F0659" w14:textId="77777777" w:rsidR="007B119E" w:rsidRDefault="00495870" w:rsidP="007B119E">
      <w:pPr>
        <w:pStyle w:val="Heading1"/>
      </w:pPr>
      <w:r>
        <w:lastRenderedPageBreak/>
        <w:t>When Does COBRA Apply?</w:t>
      </w:r>
    </w:p>
    <w:p w14:paraId="612374F3" w14:textId="77777777" w:rsidR="007B119E" w:rsidRDefault="00495870" w:rsidP="00190ADE">
      <w:pPr>
        <w:pStyle w:val="BodyText"/>
        <w:spacing w:before="120"/>
      </w:pPr>
      <w:r>
        <w:t xml:space="preserve">Most private-sector employers that maintain group health plans for their employees must comply with COBRA’s continuation coverage requirements. This includes, for </w:t>
      </w:r>
      <w:r>
        <w:t xml:space="preserve">example, corporations, partnerships and tax-exempt organizations.  However, COBRA does not apply to group health plans maintained by </w:t>
      </w:r>
      <w:r w:rsidRPr="007B119E">
        <w:rPr>
          <w:b/>
        </w:rPr>
        <w:t>small employers</w:t>
      </w:r>
      <w:r>
        <w:t xml:space="preserve">. A “small employer” means an employer that had </w:t>
      </w:r>
      <w:r w:rsidRPr="007B119E">
        <w:rPr>
          <w:b/>
        </w:rPr>
        <w:t>fewer than 20 employees</w:t>
      </w:r>
      <w:r>
        <w:t xml:space="preserve"> on typical business days during the </w:t>
      </w:r>
      <w:r>
        <w:t>preceding calendar year.</w:t>
      </w:r>
    </w:p>
    <w:p w14:paraId="284A6858" w14:textId="3EFE8BAE" w:rsidR="007B119E" w:rsidRDefault="00495870" w:rsidP="003A7025">
      <w:pPr>
        <w:pStyle w:val="BodyText"/>
        <w:spacing w:before="360"/>
      </w:pPr>
      <w:r>
        <w:rPr>
          <w:noProof/>
        </w:rPr>
        <mc:AlternateContent>
          <mc:Choice Requires="wps">
            <w:drawing>
              <wp:anchor distT="0" distB="0" distL="114300" distR="114300" simplePos="0" relativeHeight="251662336" behindDoc="0" locked="1" layoutInCell="1" allowOverlap="1" wp14:anchorId="3DD4302D" wp14:editId="15963867">
                <wp:simplePos x="0" y="0"/>
                <wp:positionH relativeFrom="column">
                  <wp:posOffset>319405</wp:posOffset>
                </wp:positionH>
                <wp:positionV relativeFrom="paragraph">
                  <wp:posOffset>97155</wp:posOffset>
                </wp:positionV>
                <wp:extent cx="5302885" cy="1207135"/>
                <wp:effectExtent l="14605" t="17145" r="16510" b="23495"/>
                <wp:wrapTopAndBottom/>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885" cy="1207135"/>
                        </a:xfrm>
                        <a:prstGeom prst="rect">
                          <a:avLst/>
                        </a:prstGeom>
                        <a:solidFill>
                          <a:srgbClr val="FFFFFF"/>
                        </a:solidFill>
                        <a:ln w="28575">
                          <a:solidFill>
                            <a:srgbClr val="EA9D6E"/>
                          </a:solidFill>
                          <a:miter lim="800000"/>
                          <a:headEnd/>
                          <a:tailEnd/>
                        </a:ln>
                      </wps:spPr>
                      <wps:txbx>
                        <w:txbxContent>
                          <w:p w14:paraId="3616AB91" w14:textId="77777777" w:rsidR="007B119E" w:rsidRPr="007B119E" w:rsidRDefault="00495870" w:rsidP="007B119E">
                            <w:pPr>
                              <w:pStyle w:val="T-Text"/>
                              <w:jc w:val="center"/>
                              <w:rPr>
                                <w:b/>
                                <w:i/>
                                <w:color w:val="4884A2"/>
                              </w:rPr>
                            </w:pPr>
                            <w:r w:rsidRPr="007B119E">
                              <w:rPr>
                                <w:b/>
                                <w:i/>
                                <w:color w:val="4884A2"/>
                              </w:rPr>
                              <w:t>Impact of State Continuation Coverage</w:t>
                            </w:r>
                          </w:p>
                          <w:p w14:paraId="1EC0A3A2" w14:textId="77777777" w:rsidR="007B119E" w:rsidRPr="00F51B8C" w:rsidRDefault="00495870" w:rsidP="007B119E">
                            <w:pPr>
                              <w:pStyle w:val="T-Text"/>
                              <w:jc w:val="center"/>
                            </w:pPr>
                            <w:r w:rsidRPr="00F51B8C">
                              <w:t xml:space="preserve">Many states have laws similar to COBRA that apply to fully insured group health plans, including plans maintained by churches and employers with fewer than 20 employees. These are sometimes </w:t>
                            </w:r>
                            <w:r w:rsidRPr="00F51B8C">
                              <w:t xml:space="preserve">called </w:t>
                            </w:r>
                            <w:r w:rsidRPr="00F51B8C">
                              <w:rPr>
                                <w:b/>
                              </w:rPr>
                              <w:t>mini-COBRA laws</w:t>
                            </w:r>
                            <w:r w:rsidRPr="00F51B8C">
                              <w:t>. Even if a plan is not subject to COBRA, it may still be required to provide continuation coverage under state insurance law</w:t>
                            </w:r>
                            <w:r>
                              <w:t>s</w:t>
                            </w:r>
                            <w:r w:rsidRPr="00F51B8C">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D4302D" id="Text Box 11" o:spid="_x0000_s1029" type="#_x0000_t202" style="position:absolute;left:0;text-align:left;margin-left:25.15pt;margin-top:7.65pt;width:417.55pt;height:9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" strokecolor="#ea9d6e" strokeweight="2.25pt">
                <v:textbox>
                  <w:txbxContent>
                    <w:p w14:paraId="3616AB91" w14:textId="77777777" w:rsidR="007B119E" w:rsidRPr="007B119E" w:rsidRDefault="00495870" w:rsidP="007B119E">
                      <w:pPr>
                        <w:pStyle w:val="T-Text"/>
                        <w:jc w:val="center"/>
                        <w:rPr>
                          <w:b/>
                          <w:i/>
                          <w:color w:val="4884A2"/>
                        </w:rPr>
                      </w:pPr>
                      <w:r w:rsidRPr="007B119E">
                        <w:rPr>
                          <w:b/>
                          <w:i/>
                          <w:color w:val="4884A2"/>
                        </w:rPr>
                        <w:t>Impact of State Continuation Coverage</w:t>
                      </w:r>
                    </w:p>
                    <w:p w14:paraId="1EC0A3A2" w14:textId="77777777" w:rsidR="007B119E" w:rsidRPr="00F51B8C" w:rsidRDefault="00495870" w:rsidP="007B119E">
                      <w:pPr>
                        <w:pStyle w:val="T-Text"/>
                        <w:jc w:val="center"/>
                      </w:pPr>
                      <w:r w:rsidRPr="00F51B8C">
                        <w:t xml:space="preserve">Many states have laws similar to COBRA that apply to fully insured group health plans, including plans maintained by churches and employers with fewer than 20 employees. These are sometimes </w:t>
                      </w:r>
                      <w:r w:rsidRPr="00F51B8C">
                        <w:t xml:space="preserve">called </w:t>
                      </w:r>
                      <w:r w:rsidRPr="00F51B8C">
                        <w:rPr>
                          <w:b/>
                        </w:rPr>
                        <w:t>mini-COBRA laws</w:t>
                      </w:r>
                      <w:r w:rsidRPr="00F51B8C">
                        <w:t>. Even if a plan is not subject to COBRA, it may still be required to provide continuation coverage under state insurance law</w:t>
                      </w:r>
                      <w:r>
                        <w:t>s</w:t>
                      </w:r>
                      <w:r w:rsidRPr="00F51B8C">
                        <w:t>.</w:t>
                      </w:r>
                    </w:p>
                  </w:txbxContent>
                </v:textbox>
                <w10:wrap type="topAndBottom"/>
                <w10:anchorlock/>
              </v:shape>
            </w:pict>
          </mc:Fallback>
        </mc:AlternateContent>
      </w:r>
      <w:r w:rsidR="0042553F">
        <w:t>COBRA also applies to plans sponsored by state and local governments. It does not apply, however, to plans sponsored by the federal Government or by churches and certain church-related organizations.</w:t>
      </w:r>
    </w:p>
    <w:p w14:paraId="4991B82F" w14:textId="77777777" w:rsidR="00777803" w:rsidRDefault="00495870" w:rsidP="003A7025">
      <w:pPr>
        <w:pStyle w:val="BodyText"/>
        <w:spacing w:after="240"/>
      </w:pPr>
      <w:r>
        <w:t xml:space="preserve">Once an employer determines that it is subject to COBRA, it must look at its plans. An employer-sponsored welfare benefit plan is subject to COBRA if it provides </w:t>
      </w:r>
      <w:r>
        <w:t>medical care. “Medical care” broadly includes medical, dental, vision and drug coverage. The following table indicates whether welfare benefits commonly offered by employers are subject to COBRA:</w:t>
      </w:r>
    </w:p>
    <w:tbl>
      <w:tblPr>
        <w:tblW w:w="0" w:type="auto"/>
        <w:tblBorders>
          <w:insideH w:val="single" w:sz="18" w:space="0" w:color="FFFFFF" w:themeColor="background1"/>
          <w:insideV w:val="single" w:sz="18" w:space="0" w:color="FFFFFF" w:themeColor="background1"/>
        </w:tblBorders>
        <w:tblLook w:val="04A0" w:firstRow="1" w:lastRow="0" w:firstColumn="1" w:lastColumn="0" w:noHBand="0" w:noVBand="1"/>
      </w:tblPr>
      <w:tblGrid>
        <w:gridCol w:w="4594"/>
        <w:gridCol w:w="2384"/>
        <w:gridCol w:w="2382"/>
      </w:tblGrid>
      <w:tr w:rsidR="00DE66D7" w14:paraId="6B99E75F" w14:textId="77777777" w:rsidTr="003A7025">
        <w:tc>
          <w:tcPr>
            <w:tcW w:w="4698" w:type="dxa"/>
            <w:vMerge w:val="restart"/>
            <w:shd w:val="clear" w:color="auto" w:fill="4884A2"/>
            <w:vAlign w:val="center"/>
          </w:tcPr>
          <w:p w14:paraId="7653B019" w14:textId="77777777" w:rsidR="007B119E" w:rsidRPr="0042553F" w:rsidRDefault="00495870" w:rsidP="0042553F">
            <w:pPr>
              <w:pStyle w:val="T-Text"/>
              <w:spacing w:before="40" w:after="40"/>
              <w:jc w:val="center"/>
              <w:rPr>
                <w:b/>
                <w:color w:val="FFFFFF"/>
              </w:rPr>
            </w:pPr>
            <w:r w:rsidRPr="0042553F">
              <w:rPr>
                <w:b/>
                <w:color w:val="FFFFFF"/>
              </w:rPr>
              <w:t>Type of Benefit</w:t>
            </w:r>
          </w:p>
        </w:tc>
        <w:tc>
          <w:tcPr>
            <w:tcW w:w="4878" w:type="dxa"/>
            <w:gridSpan w:val="2"/>
            <w:shd w:val="clear" w:color="auto" w:fill="4884A2"/>
            <w:vAlign w:val="center"/>
          </w:tcPr>
          <w:p w14:paraId="0397A4CC" w14:textId="77777777" w:rsidR="007B119E" w:rsidRPr="0042553F" w:rsidRDefault="00495870" w:rsidP="0042553F">
            <w:pPr>
              <w:pStyle w:val="T-Text"/>
              <w:spacing w:before="40" w:after="40"/>
              <w:jc w:val="center"/>
              <w:rPr>
                <w:b/>
                <w:color w:val="FFFFFF"/>
              </w:rPr>
            </w:pPr>
            <w:r w:rsidRPr="0042553F">
              <w:rPr>
                <w:b/>
                <w:color w:val="FFFFFF"/>
              </w:rPr>
              <w:t>Subject to COBRA?</w:t>
            </w:r>
          </w:p>
        </w:tc>
      </w:tr>
      <w:tr w:rsidR="00DE66D7" w14:paraId="0D61EBFD" w14:textId="77777777" w:rsidTr="003A7025">
        <w:tc>
          <w:tcPr>
            <w:tcW w:w="4698" w:type="dxa"/>
            <w:vMerge/>
            <w:shd w:val="clear" w:color="auto" w:fill="4884A2"/>
            <w:vAlign w:val="center"/>
          </w:tcPr>
          <w:p w14:paraId="0A4E095F" w14:textId="77777777" w:rsidR="007B119E" w:rsidRPr="0042553F" w:rsidRDefault="007B119E" w:rsidP="0042553F">
            <w:pPr>
              <w:pStyle w:val="T-Text"/>
              <w:spacing w:before="40" w:after="40"/>
              <w:jc w:val="center"/>
              <w:rPr>
                <w:b/>
              </w:rPr>
            </w:pPr>
          </w:p>
        </w:tc>
        <w:tc>
          <w:tcPr>
            <w:tcW w:w="2439" w:type="dxa"/>
            <w:shd w:val="clear" w:color="auto" w:fill="7B7B7B"/>
            <w:vAlign w:val="center"/>
          </w:tcPr>
          <w:p w14:paraId="6ECA3DAD" w14:textId="77777777" w:rsidR="007B119E" w:rsidRPr="0042553F" w:rsidRDefault="00495870" w:rsidP="0042553F">
            <w:pPr>
              <w:pStyle w:val="T-Text"/>
              <w:spacing w:before="40" w:after="40"/>
              <w:jc w:val="center"/>
              <w:rPr>
                <w:b/>
                <w:color w:val="FFFFFF"/>
              </w:rPr>
            </w:pPr>
            <w:r w:rsidRPr="0042553F">
              <w:rPr>
                <w:b/>
                <w:color w:val="FFFFFF"/>
              </w:rPr>
              <w:t>Yes</w:t>
            </w:r>
          </w:p>
        </w:tc>
        <w:tc>
          <w:tcPr>
            <w:tcW w:w="2439" w:type="dxa"/>
            <w:shd w:val="clear" w:color="auto" w:fill="7B7B7B"/>
            <w:vAlign w:val="center"/>
          </w:tcPr>
          <w:p w14:paraId="5FAD1094" w14:textId="77777777" w:rsidR="007B119E" w:rsidRPr="0042553F" w:rsidRDefault="00495870" w:rsidP="0042553F">
            <w:pPr>
              <w:pStyle w:val="T-Text"/>
              <w:spacing w:before="40" w:after="40"/>
              <w:jc w:val="center"/>
              <w:rPr>
                <w:b/>
                <w:color w:val="FFFFFF"/>
              </w:rPr>
            </w:pPr>
            <w:r w:rsidRPr="0042553F">
              <w:rPr>
                <w:b/>
                <w:color w:val="FFFFFF"/>
              </w:rPr>
              <w:t>No</w:t>
            </w:r>
          </w:p>
        </w:tc>
      </w:tr>
      <w:tr w:rsidR="00DE66D7" w14:paraId="3EB9911C" w14:textId="77777777" w:rsidTr="003A7025">
        <w:tc>
          <w:tcPr>
            <w:tcW w:w="4698" w:type="dxa"/>
            <w:shd w:val="clear" w:color="auto" w:fill="F2F2F2" w:themeFill="background1" w:themeFillShade="F2"/>
            <w:vAlign w:val="center"/>
          </w:tcPr>
          <w:p w14:paraId="00A703CF" w14:textId="77777777" w:rsidR="007B119E" w:rsidRDefault="00495870" w:rsidP="003A7025">
            <w:pPr>
              <w:pStyle w:val="T-Text"/>
              <w:spacing w:before="40" w:after="40"/>
              <w:jc w:val="center"/>
            </w:pPr>
            <w:r>
              <w:t xml:space="preserve">Group </w:t>
            </w:r>
            <w:r>
              <w:t>medical plans</w:t>
            </w:r>
          </w:p>
        </w:tc>
        <w:tc>
          <w:tcPr>
            <w:tcW w:w="2439" w:type="dxa"/>
            <w:shd w:val="clear" w:color="auto" w:fill="F2F2F2" w:themeFill="background1" w:themeFillShade="F2"/>
          </w:tcPr>
          <w:p w14:paraId="2249C6D6" w14:textId="77777777" w:rsidR="007B119E" w:rsidRPr="0042553F" w:rsidRDefault="007B119E" w:rsidP="0042553F">
            <w:pPr>
              <w:pStyle w:val="BodyText"/>
              <w:numPr>
                <w:ilvl w:val="0"/>
                <w:numId w:val="14"/>
              </w:numPr>
              <w:spacing w:before="40" w:after="40" w:line="240" w:lineRule="auto"/>
              <w:rPr>
                <w:szCs w:val="22"/>
              </w:rPr>
            </w:pPr>
          </w:p>
        </w:tc>
        <w:tc>
          <w:tcPr>
            <w:tcW w:w="2439" w:type="dxa"/>
            <w:shd w:val="clear" w:color="auto" w:fill="F2F2F2" w:themeFill="background1" w:themeFillShade="F2"/>
          </w:tcPr>
          <w:p w14:paraId="035DC0C9" w14:textId="77777777" w:rsidR="007B119E" w:rsidRPr="0042553F" w:rsidRDefault="007B119E" w:rsidP="0042553F">
            <w:pPr>
              <w:pStyle w:val="BodyText"/>
              <w:spacing w:before="40" w:after="40" w:line="240" w:lineRule="auto"/>
              <w:rPr>
                <w:szCs w:val="22"/>
              </w:rPr>
            </w:pPr>
          </w:p>
        </w:tc>
      </w:tr>
      <w:tr w:rsidR="00DE66D7" w14:paraId="4568FBDA" w14:textId="77777777" w:rsidTr="003A7025">
        <w:tc>
          <w:tcPr>
            <w:tcW w:w="4698" w:type="dxa"/>
            <w:shd w:val="clear" w:color="auto" w:fill="F2F2F2" w:themeFill="background1" w:themeFillShade="F2"/>
            <w:vAlign w:val="center"/>
          </w:tcPr>
          <w:p w14:paraId="7000B633" w14:textId="77777777" w:rsidR="007B119E" w:rsidRDefault="00495870" w:rsidP="003A7025">
            <w:pPr>
              <w:pStyle w:val="T-Text"/>
              <w:spacing w:before="40" w:after="40"/>
              <w:jc w:val="center"/>
            </w:pPr>
            <w:r>
              <w:t>Dental and vision plans</w:t>
            </w:r>
          </w:p>
        </w:tc>
        <w:tc>
          <w:tcPr>
            <w:tcW w:w="2439" w:type="dxa"/>
            <w:shd w:val="clear" w:color="auto" w:fill="F2F2F2" w:themeFill="background1" w:themeFillShade="F2"/>
          </w:tcPr>
          <w:p w14:paraId="665AAE92" w14:textId="77777777" w:rsidR="007B119E" w:rsidRPr="0042553F" w:rsidRDefault="007B119E" w:rsidP="0042553F">
            <w:pPr>
              <w:pStyle w:val="BodyText"/>
              <w:numPr>
                <w:ilvl w:val="0"/>
                <w:numId w:val="14"/>
              </w:numPr>
              <w:spacing w:before="40" w:after="40" w:line="240" w:lineRule="auto"/>
              <w:rPr>
                <w:szCs w:val="22"/>
              </w:rPr>
            </w:pPr>
          </w:p>
        </w:tc>
        <w:tc>
          <w:tcPr>
            <w:tcW w:w="2439" w:type="dxa"/>
            <w:shd w:val="clear" w:color="auto" w:fill="F2F2F2" w:themeFill="background1" w:themeFillShade="F2"/>
          </w:tcPr>
          <w:p w14:paraId="3FE8148B" w14:textId="77777777" w:rsidR="007B119E" w:rsidRPr="0042553F" w:rsidRDefault="007B119E" w:rsidP="0042553F">
            <w:pPr>
              <w:pStyle w:val="BodyText"/>
              <w:spacing w:before="40" w:after="40" w:line="240" w:lineRule="auto"/>
              <w:rPr>
                <w:szCs w:val="22"/>
              </w:rPr>
            </w:pPr>
          </w:p>
        </w:tc>
      </w:tr>
      <w:tr w:rsidR="00DE66D7" w14:paraId="540D98C5" w14:textId="77777777" w:rsidTr="003A7025">
        <w:tc>
          <w:tcPr>
            <w:tcW w:w="4698" w:type="dxa"/>
            <w:shd w:val="clear" w:color="auto" w:fill="F2F2F2" w:themeFill="background1" w:themeFillShade="F2"/>
            <w:vAlign w:val="center"/>
          </w:tcPr>
          <w:p w14:paraId="6792AE7D" w14:textId="77777777" w:rsidR="007B119E" w:rsidRDefault="00495870" w:rsidP="003A7025">
            <w:pPr>
              <w:pStyle w:val="T-Text"/>
              <w:spacing w:before="40" w:after="40"/>
              <w:jc w:val="center"/>
            </w:pPr>
            <w:r>
              <w:t>Health FSAs and HRAs</w:t>
            </w:r>
          </w:p>
        </w:tc>
        <w:tc>
          <w:tcPr>
            <w:tcW w:w="2439" w:type="dxa"/>
            <w:shd w:val="clear" w:color="auto" w:fill="F2F2F2" w:themeFill="background1" w:themeFillShade="F2"/>
          </w:tcPr>
          <w:p w14:paraId="013CD884" w14:textId="77777777" w:rsidR="007B119E" w:rsidRPr="0042553F" w:rsidRDefault="007B119E" w:rsidP="0042553F">
            <w:pPr>
              <w:pStyle w:val="BodyText"/>
              <w:numPr>
                <w:ilvl w:val="0"/>
                <w:numId w:val="14"/>
              </w:numPr>
              <w:spacing w:before="40" w:after="40" w:line="240" w:lineRule="auto"/>
              <w:rPr>
                <w:szCs w:val="22"/>
              </w:rPr>
            </w:pPr>
          </w:p>
        </w:tc>
        <w:tc>
          <w:tcPr>
            <w:tcW w:w="2439" w:type="dxa"/>
            <w:shd w:val="clear" w:color="auto" w:fill="F2F2F2" w:themeFill="background1" w:themeFillShade="F2"/>
          </w:tcPr>
          <w:p w14:paraId="164AF109" w14:textId="77777777" w:rsidR="007B119E" w:rsidRPr="0042553F" w:rsidRDefault="007B119E" w:rsidP="0042553F">
            <w:pPr>
              <w:pStyle w:val="BodyText"/>
              <w:spacing w:before="40" w:after="40" w:line="240" w:lineRule="auto"/>
              <w:rPr>
                <w:szCs w:val="22"/>
              </w:rPr>
            </w:pPr>
          </w:p>
        </w:tc>
      </w:tr>
      <w:tr w:rsidR="00DE66D7" w14:paraId="52E508E7" w14:textId="77777777" w:rsidTr="003A7025">
        <w:tc>
          <w:tcPr>
            <w:tcW w:w="4698" w:type="dxa"/>
            <w:shd w:val="clear" w:color="auto" w:fill="F2F2F2" w:themeFill="background1" w:themeFillShade="F2"/>
            <w:vAlign w:val="center"/>
          </w:tcPr>
          <w:p w14:paraId="28AAB33E" w14:textId="77777777" w:rsidR="007B119E" w:rsidRDefault="00495870" w:rsidP="003A7025">
            <w:pPr>
              <w:pStyle w:val="T-Text"/>
              <w:spacing w:before="40" w:after="40"/>
              <w:jc w:val="center"/>
            </w:pPr>
            <w:r>
              <w:t>HSAs</w:t>
            </w:r>
          </w:p>
        </w:tc>
        <w:tc>
          <w:tcPr>
            <w:tcW w:w="2439" w:type="dxa"/>
            <w:shd w:val="clear" w:color="auto" w:fill="F2F2F2" w:themeFill="background1" w:themeFillShade="F2"/>
          </w:tcPr>
          <w:p w14:paraId="37AB2272" w14:textId="77777777" w:rsidR="007B119E" w:rsidRPr="0042553F" w:rsidRDefault="007B119E" w:rsidP="0042553F">
            <w:pPr>
              <w:pStyle w:val="BodyText"/>
              <w:spacing w:before="40" w:after="40" w:line="240" w:lineRule="auto"/>
              <w:rPr>
                <w:szCs w:val="22"/>
              </w:rPr>
            </w:pPr>
          </w:p>
        </w:tc>
        <w:tc>
          <w:tcPr>
            <w:tcW w:w="2439" w:type="dxa"/>
            <w:shd w:val="clear" w:color="auto" w:fill="F2F2F2" w:themeFill="background1" w:themeFillShade="F2"/>
          </w:tcPr>
          <w:p w14:paraId="3B554FD9" w14:textId="77777777" w:rsidR="007B119E" w:rsidRPr="0042553F" w:rsidRDefault="007B119E" w:rsidP="0042553F">
            <w:pPr>
              <w:pStyle w:val="BodyText"/>
              <w:numPr>
                <w:ilvl w:val="0"/>
                <w:numId w:val="14"/>
              </w:numPr>
              <w:spacing w:before="40" w:after="40" w:line="240" w:lineRule="auto"/>
              <w:rPr>
                <w:szCs w:val="22"/>
              </w:rPr>
            </w:pPr>
          </w:p>
        </w:tc>
      </w:tr>
      <w:tr w:rsidR="00DE66D7" w14:paraId="1B7181F3" w14:textId="77777777" w:rsidTr="003A7025">
        <w:tc>
          <w:tcPr>
            <w:tcW w:w="4698" w:type="dxa"/>
            <w:shd w:val="clear" w:color="auto" w:fill="F2F2F2" w:themeFill="background1" w:themeFillShade="F2"/>
            <w:vAlign w:val="center"/>
          </w:tcPr>
          <w:p w14:paraId="3793744A" w14:textId="77777777" w:rsidR="007B119E" w:rsidRDefault="00495870" w:rsidP="003A7025">
            <w:pPr>
              <w:pStyle w:val="T-Text"/>
              <w:spacing w:before="40" w:after="40"/>
              <w:jc w:val="center"/>
            </w:pPr>
            <w:r>
              <w:t>Disease-specific policies (providing medical care)</w:t>
            </w:r>
          </w:p>
        </w:tc>
        <w:tc>
          <w:tcPr>
            <w:tcW w:w="2439" w:type="dxa"/>
            <w:shd w:val="clear" w:color="auto" w:fill="F2F2F2" w:themeFill="background1" w:themeFillShade="F2"/>
          </w:tcPr>
          <w:p w14:paraId="2EE103B7" w14:textId="77777777" w:rsidR="007B119E" w:rsidRPr="0042553F" w:rsidRDefault="007B119E" w:rsidP="0042553F">
            <w:pPr>
              <w:pStyle w:val="BodyText"/>
              <w:numPr>
                <w:ilvl w:val="0"/>
                <w:numId w:val="14"/>
              </w:numPr>
              <w:spacing w:before="40" w:after="40" w:line="240" w:lineRule="auto"/>
              <w:rPr>
                <w:szCs w:val="22"/>
              </w:rPr>
            </w:pPr>
          </w:p>
        </w:tc>
        <w:tc>
          <w:tcPr>
            <w:tcW w:w="2439" w:type="dxa"/>
            <w:shd w:val="clear" w:color="auto" w:fill="F2F2F2" w:themeFill="background1" w:themeFillShade="F2"/>
          </w:tcPr>
          <w:p w14:paraId="09584C3D" w14:textId="77777777" w:rsidR="007B119E" w:rsidRPr="0042553F" w:rsidRDefault="007B119E" w:rsidP="0042553F">
            <w:pPr>
              <w:pStyle w:val="BodyText"/>
              <w:spacing w:before="40" w:after="40" w:line="240" w:lineRule="auto"/>
              <w:ind w:left="1440"/>
              <w:rPr>
                <w:szCs w:val="22"/>
              </w:rPr>
            </w:pPr>
          </w:p>
        </w:tc>
      </w:tr>
      <w:tr w:rsidR="00DE66D7" w14:paraId="2D5AFB40" w14:textId="77777777" w:rsidTr="003A7025">
        <w:tc>
          <w:tcPr>
            <w:tcW w:w="4698" w:type="dxa"/>
            <w:shd w:val="clear" w:color="auto" w:fill="F2F2F2" w:themeFill="background1" w:themeFillShade="F2"/>
            <w:vAlign w:val="center"/>
          </w:tcPr>
          <w:p w14:paraId="6C930D2F" w14:textId="77777777" w:rsidR="007B119E" w:rsidRDefault="00495870" w:rsidP="003A7025">
            <w:pPr>
              <w:pStyle w:val="T-Text"/>
              <w:spacing w:before="40" w:after="40"/>
              <w:jc w:val="center"/>
            </w:pPr>
            <w:r>
              <w:t>Group life insurance</w:t>
            </w:r>
          </w:p>
        </w:tc>
        <w:tc>
          <w:tcPr>
            <w:tcW w:w="2439" w:type="dxa"/>
            <w:shd w:val="clear" w:color="auto" w:fill="F2F2F2" w:themeFill="background1" w:themeFillShade="F2"/>
          </w:tcPr>
          <w:p w14:paraId="606DAFF8" w14:textId="77777777" w:rsidR="007B119E" w:rsidRPr="0042553F" w:rsidRDefault="007B119E" w:rsidP="0042553F">
            <w:pPr>
              <w:pStyle w:val="BodyText"/>
              <w:spacing w:before="40" w:after="40" w:line="240" w:lineRule="auto"/>
              <w:ind w:left="1440"/>
              <w:rPr>
                <w:szCs w:val="22"/>
              </w:rPr>
            </w:pPr>
          </w:p>
        </w:tc>
        <w:tc>
          <w:tcPr>
            <w:tcW w:w="2439" w:type="dxa"/>
            <w:shd w:val="clear" w:color="auto" w:fill="F2F2F2" w:themeFill="background1" w:themeFillShade="F2"/>
          </w:tcPr>
          <w:p w14:paraId="6B04AC83" w14:textId="77777777" w:rsidR="007B119E" w:rsidRPr="0042553F" w:rsidRDefault="007B119E" w:rsidP="0042553F">
            <w:pPr>
              <w:pStyle w:val="BodyText"/>
              <w:numPr>
                <w:ilvl w:val="0"/>
                <w:numId w:val="14"/>
              </w:numPr>
              <w:spacing w:before="40" w:after="40" w:line="240" w:lineRule="auto"/>
              <w:rPr>
                <w:szCs w:val="22"/>
              </w:rPr>
            </w:pPr>
          </w:p>
        </w:tc>
      </w:tr>
      <w:tr w:rsidR="00DE66D7" w14:paraId="0E8919BB" w14:textId="77777777" w:rsidTr="003A7025">
        <w:tc>
          <w:tcPr>
            <w:tcW w:w="4698" w:type="dxa"/>
            <w:shd w:val="clear" w:color="auto" w:fill="F2F2F2" w:themeFill="background1" w:themeFillShade="F2"/>
            <w:vAlign w:val="center"/>
          </w:tcPr>
          <w:p w14:paraId="1665A231" w14:textId="77777777" w:rsidR="007B119E" w:rsidRDefault="00495870" w:rsidP="003A7025">
            <w:pPr>
              <w:pStyle w:val="T-Text"/>
              <w:spacing w:before="40" w:after="40"/>
              <w:jc w:val="center"/>
            </w:pPr>
            <w:r>
              <w:t>Disability plans (long-term or short-term)</w:t>
            </w:r>
          </w:p>
        </w:tc>
        <w:tc>
          <w:tcPr>
            <w:tcW w:w="2439" w:type="dxa"/>
            <w:shd w:val="clear" w:color="auto" w:fill="F2F2F2" w:themeFill="background1" w:themeFillShade="F2"/>
          </w:tcPr>
          <w:p w14:paraId="540BE068" w14:textId="77777777" w:rsidR="007B119E" w:rsidRPr="0042553F" w:rsidRDefault="007B119E" w:rsidP="0042553F">
            <w:pPr>
              <w:pStyle w:val="BodyText"/>
              <w:spacing w:before="40" w:after="40" w:line="240" w:lineRule="auto"/>
              <w:ind w:left="1440"/>
              <w:rPr>
                <w:szCs w:val="22"/>
              </w:rPr>
            </w:pPr>
          </w:p>
        </w:tc>
        <w:tc>
          <w:tcPr>
            <w:tcW w:w="2439" w:type="dxa"/>
            <w:shd w:val="clear" w:color="auto" w:fill="F2F2F2" w:themeFill="background1" w:themeFillShade="F2"/>
          </w:tcPr>
          <w:p w14:paraId="66ACCEDE" w14:textId="77777777" w:rsidR="007B119E" w:rsidRPr="0042553F" w:rsidRDefault="007B119E" w:rsidP="0042553F">
            <w:pPr>
              <w:pStyle w:val="BodyText"/>
              <w:numPr>
                <w:ilvl w:val="0"/>
                <w:numId w:val="14"/>
              </w:numPr>
              <w:spacing w:before="40" w:after="40" w:line="240" w:lineRule="auto"/>
              <w:rPr>
                <w:szCs w:val="22"/>
              </w:rPr>
            </w:pPr>
          </w:p>
        </w:tc>
      </w:tr>
      <w:tr w:rsidR="00DE66D7" w14:paraId="7CE45223" w14:textId="77777777" w:rsidTr="003A7025">
        <w:tc>
          <w:tcPr>
            <w:tcW w:w="4698" w:type="dxa"/>
            <w:shd w:val="clear" w:color="auto" w:fill="F2F2F2" w:themeFill="background1" w:themeFillShade="F2"/>
            <w:vAlign w:val="center"/>
          </w:tcPr>
          <w:p w14:paraId="3CACD0CF" w14:textId="77777777" w:rsidR="007B119E" w:rsidRDefault="00495870" w:rsidP="003A7025">
            <w:pPr>
              <w:pStyle w:val="T-Text"/>
              <w:spacing w:before="40" w:after="40"/>
              <w:jc w:val="center"/>
            </w:pPr>
            <w:r>
              <w:t>AD&amp;D coverage</w:t>
            </w:r>
          </w:p>
        </w:tc>
        <w:tc>
          <w:tcPr>
            <w:tcW w:w="2439" w:type="dxa"/>
            <w:shd w:val="clear" w:color="auto" w:fill="F2F2F2" w:themeFill="background1" w:themeFillShade="F2"/>
          </w:tcPr>
          <w:p w14:paraId="4CD35FAD" w14:textId="77777777" w:rsidR="007B119E" w:rsidRPr="0042553F" w:rsidRDefault="007B119E" w:rsidP="0042553F">
            <w:pPr>
              <w:pStyle w:val="BodyText"/>
              <w:spacing w:before="40" w:after="40" w:line="240" w:lineRule="auto"/>
              <w:ind w:left="1440"/>
              <w:rPr>
                <w:szCs w:val="22"/>
              </w:rPr>
            </w:pPr>
          </w:p>
        </w:tc>
        <w:tc>
          <w:tcPr>
            <w:tcW w:w="2439" w:type="dxa"/>
            <w:shd w:val="clear" w:color="auto" w:fill="F2F2F2" w:themeFill="background1" w:themeFillShade="F2"/>
          </w:tcPr>
          <w:p w14:paraId="640A5ED1" w14:textId="77777777" w:rsidR="007B119E" w:rsidRPr="0042553F" w:rsidRDefault="007B119E" w:rsidP="0042553F">
            <w:pPr>
              <w:pStyle w:val="BodyText"/>
              <w:numPr>
                <w:ilvl w:val="0"/>
                <w:numId w:val="14"/>
              </w:numPr>
              <w:spacing w:before="40" w:after="40" w:line="240" w:lineRule="auto"/>
              <w:rPr>
                <w:szCs w:val="22"/>
              </w:rPr>
            </w:pPr>
          </w:p>
        </w:tc>
      </w:tr>
    </w:tbl>
    <w:p w14:paraId="5E2FFD3A" w14:textId="77777777" w:rsidR="007B119E" w:rsidRDefault="00495870" w:rsidP="00E32B0F">
      <w:pPr>
        <w:pStyle w:val="Heading1"/>
      </w:pPr>
      <w:r>
        <w:br w:type="page"/>
      </w:r>
      <w:r w:rsidR="0042553F">
        <w:lastRenderedPageBreak/>
        <w:t>Who is Entitled to COBRA Coverage?</w:t>
      </w:r>
    </w:p>
    <w:p w14:paraId="7212854A" w14:textId="77777777" w:rsidR="00E32B0F" w:rsidRDefault="00495870" w:rsidP="00190ADE">
      <w:pPr>
        <w:pStyle w:val="BodyText"/>
        <w:spacing w:before="120"/>
      </w:pPr>
      <w:r>
        <w:t xml:space="preserve">A group health plan is required to offer COBRA continuation coverage only to </w:t>
      </w:r>
      <w:r w:rsidRPr="00E32B0F">
        <w:rPr>
          <w:b/>
        </w:rPr>
        <w:t>qualified beneficiaries</w:t>
      </w:r>
      <w:r>
        <w:t xml:space="preserve"> and only after a </w:t>
      </w:r>
      <w:r w:rsidRPr="00E32B0F">
        <w:rPr>
          <w:b/>
        </w:rPr>
        <w:t>qualifying event</w:t>
      </w:r>
      <w:r>
        <w:t xml:space="preserve"> has occurred.</w:t>
      </w:r>
    </w:p>
    <w:p w14:paraId="4B906550" w14:textId="77777777" w:rsidR="00E32B0F" w:rsidRDefault="00495870" w:rsidP="00E32B0F">
      <w:pPr>
        <w:pStyle w:val="Heading2"/>
      </w:pPr>
      <w:r>
        <w:t>Qualified Beneficiaries</w:t>
      </w:r>
    </w:p>
    <w:p w14:paraId="7D8B8A98" w14:textId="77777777" w:rsidR="00E32B0F" w:rsidRDefault="00495870" w:rsidP="00190ADE">
      <w:pPr>
        <w:pStyle w:val="BodyText"/>
        <w:spacing w:before="120"/>
      </w:pPr>
      <w:r>
        <w:t>A qualified beneficiary is an individual who was covered by a group healt</w:t>
      </w:r>
      <w:r>
        <w:t>h plan on the day before a qualifying event occurred and who is an employee, an employee's spouse or former spouse, or an employee's dependent child. In addition, any child born to or placed for adoption with a covered employee during a period of continuat</w:t>
      </w:r>
      <w:r>
        <w:t>ion coverage is automatically considered a qualified beneficiary.</w:t>
      </w:r>
    </w:p>
    <w:p w14:paraId="6D50F5EF" w14:textId="77777777" w:rsidR="00E32B0F" w:rsidRDefault="00495870" w:rsidP="00E32B0F">
      <w:pPr>
        <w:pStyle w:val="Heading2"/>
      </w:pPr>
      <w:r>
        <w:t>Qualifying Events</w:t>
      </w:r>
    </w:p>
    <w:p w14:paraId="55F7B075" w14:textId="77777777" w:rsidR="00E32B0F" w:rsidRDefault="00495870" w:rsidP="00190ADE">
      <w:pPr>
        <w:pStyle w:val="BodyText"/>
        <w:spacing w:before="120"/>
      </w:pPr>
      <w:r>
        <w:t>An employer must offer COBRA coverage only when group health plan coverage ends (or would end) due to a qualifying event. Not all losses of health coverage are caused by qu</w:t>
      </w:r>
      <w:r>
        <w:t>alifying events. For example, a cancellation of health plan coverage—whether at the employee’s request or because of the employee’s failure to pay premiums—is not, by itself, a qualifying event that triggers the requirement to offer COBRA coverage.</w:t>
      </w:r>
    </w:p>
    <w:p w14:paraId="1A39623B" w14:textId="77777777" w:rsidR="00E32B0F" w:rsidRDefault="00495870" w:rsidP="00E32B0F">
      <w:pPr>
        <w:pStyle w:val="BodyText"/>
      </w:pPr>
      <w:r>
        <w:t>The per</w:t>
      </w:r>
      <w:r>
        <w:t>iod of COBRA coverage offered to qualifying beneficiaries is known as the “maximum coverage period.” The length of the maximum coverage period depends on the type of qualifying event that has occurred. There are situations where the maximum coverage period</w:t>
      </w:r>
      <w:r>
        <w:t xml:space="preserve"> can be extended (due to disability or a second qualifying event) or terminated early (for example, when COBRA premiums are not paid).</w:t>
      </w:r>
    </w:p>
    <w:p w14:paraId="267A303A" w14:textId="77777777" w:rsidR="00E32B0F" w:rsidRDefault="00495870" w:rsidP="00E32B0F">
      <w:pPr>
        <w:pStyle w:val="BodyText"/>
      </w:pPr>
      <w:r>
        <w:t>The following chart outlines the seven qualifying events under COBRA and the corresponding maximum coverage periods:</w:t>
      </w:r>
    </w:p>
    <w:tbl>
      <w:tblPr>
        <w:tblW w:w="0" w:type="auto"/>
        <w:tblInd w:w="108" w:type="dxa"/>
        <w:tblBorders>
          <w:insideH w:val="single" w:sz="18" w:space="0" w:color="FFFFFF" w:themeColor="background1"/>
          <w:insideV w:val="single" w:sz="18" w:space="0" w:color="FFFFFF" w:themeColor="background1"/>
        </w:tblBorders>
        <w:tblLook w:val="04A0" w:firstRow="1" w:lastRow="0" w:firstColumn="1" w:lastColumn="0" w:noHBand="0" w:noVBand="1"/>
      </w:tblPr>
      <w:tblGrid>
        <w:gridCol w:w="5407"/>
        <w:gridCol w:w="3845"/>
      </w:tblGrid>
      <w:tr w:rsidR="00DE66D7" w14:paraId="4D744AC5" w14:textId="77777777" w:rsidTr="003A7025">
        <w:tc>
          <w:tcPr>
            <w:tcW w:w="5472" w:type="dxa"/>
            <w:shd w:val="clear" w:color="auto" w:fill="4884A2"/>
            <w:vAlign w:val="center"/>
          </w:tcPr>
          <w:p w14:paraId="3898DCCA" w14:textId="77777777" w:rsidR="00E32B0F" w:rsidRPr="0042553F" w:rsidRDefault="00495870" w:rsidP="00E32B0F">
            <w:pPr>
              <w:pStyle w:val="T-Text"/>
              <w:spacing w:before="60" w:after="60"/>
              <w:jc w:val="center"/>
              <w:rPr>
                <w:b/>
                <w:color w:val="FFFFFF"/>
              </w:rPr>
            </w:pPr>
            <w:r w:rsidRPr="0042553F">
              <w:rPr>
                <w:b/>
                <w:color w:val="FFFFFF"/>
              </w:rPr>
              <w:t>Qual</w:t>
            </w:r>
            <w:r w:rsidRPr="0042553F">
              <w:rPr>
                <w:b/>
                <w:color w:val="FFFFFF"/>
              </w:rPr>
              <w:t>ifying Event</w:t>
            </w:r>
          </w:p>
        </w:tc>
        <w:tc>
          <w:tcPr>
            <w:tcW w:w="3888" w:type="dxa"/>
            <w:shd w:val="clear" w:color="auto" w:fill="4884A2"/>
            <w:vAlign w:val="center"/>
          </w:tcPr>
          <w:p w14:paraId="5B5B024E" w14:textId="77777777" w:rsidR="00E32B0F" w:rsidRPr="0042553F" w:rsidRDefault="00495870" w:rsidP="00E32B0F">
            <w:pPr>
              <w:pStyle w:val="T-Text"/>
              <w:spacing w:before="60" w:after="60"/>
              <w:jc w:val="center"/>
              <w:rPr>
                <w:b/>
                <w:color w:val="FFFFFF"/>
              </w:rPr>
            </w:pPr>
            <w:r w:rsidRPr="0042553F">
              <w:rPr>
                <w:b/>
                <w:color w:val="FFFFFF"/>
              </w:rPr>
              <w:t>Maximum Coverage Period</w:t>
            </w:r>
          </w:p>
        </w:tc>
      </w:tr>
      <w:tr w:rsidR="00DE66D7" w14:paraId="1E084A53" w14:textId="77777777" w:rsidTr="003A7025">
        <w:tc>
          <w:tcPr>
            <w:tcW w:w="5472" w:type="dxa"/>
            <w:shd w:val="clear" w:color="auto" w:fill="F2F2F2" w:themeFill="background1" w:themeFillShade="F2"/>
            <w:vAlign w:val="center"/>
          </w:tcPr>
          <w:p w14:paraId="016538A5" w14:textId="77777777" w:rsidR="00E32B0F" w:rsidRPr="00F51B8C" w:rsidRDefault="00495870" w:rsidP="00E32B0F">
            <w:pPr>
              <w:pStyle w:val="T-Text"/>
              <w:spacing w:before="60" w:after="60"/>
              <w:jc w:val="center"/>
            </w:pPr>
            <w:r w:rsidRPr="00F51B8C">
              <w:t>Termination of employment</w:t>
            </w:r>
          </w:p>
        </w:tc>
        <w:tc>
          <w:tcPr>
            <w:tcW w:w="3888" w:type="dxa"/>
            <w:shd w:val="clear" w:color="auto" w:fill="F2F2F2" w:themeFill="background1" w:themeFillShade="F2"/>
            <w:vAlign w:val="center"/>
          </w:tcPr>
          <w:p w14:paraId="233AB396" w14:textId="77777777" w:rsidR="00E32B0F" w:rsidRPr="00F51B8C" w:rsidRDefault="00495870" w:rsidP="00E32B0F">
            <w:pPr>
              <w:pStyle w:val="T-Text"/>
              <w:spacing w:before="60" w:after="60"/>
              <w:jc w:val="center"/>
            </w:pPr>
            <w:r w:rsidRPr="00F51B8C">
              <w:t>18 months</w:t>
            </w:r>
          </w:p>
        </w:tc>
      </w:tr>
      <w:tr w:rsidR="00DE66D7" w14:paraId="694DCC69" w14:textId="77777777" w:rsidTr="003A7025">
        <w:tc>
          <w:tcPr>
            <w:tcW w:w="5472" w:type="dxa"/>
            <w:shd w:val="clear" w:color="auto" w:fill="F2F2F2" w:themeFill="background1" w:themeFillShade="F2"/>
            <w:vAlign w:val="center"/>
          </w:tcPr>
          <w:p w14:paraId="3F182669" w14:textId="77777777" w:rsidR="00E32B0F" w:rsidRPr="00F51B8C" w:rsidRDefault="00495870" w:rsidP="00E32B0F">
            <w:pPr>
              <w:pStyle w:val="T-Text"/>
              <w:spacing w:before="60" w:after="60"/>
              <w:jc w:val="center"/>
            </w:pPr>
            <w:r w:rsidRPr="00F51B8C">
              <w:t>Reduction of hours</w:t>
            </w:r>
          </w:p>
        </w:tc>
        <w:tc>
          <w:tcPr>
            <w:tcW w:w="3888" w:type="dxa"/>
            <w:shd w:val="clear" w:color="auto" w:fill="F2F2F2" w:themeFill="background1" w:themeFillShade="F2"/>
            <w:vAlign w:val="center"/>
          </w:tcPr>
          <w:p w14:paraId="1C865A95" w14:textId="77777777" w:rsidR="00E32B0F" w:rsidRPr="00F51B8C" w:rsidRDefault="00495870" w:rsidP="00E32B0F">
            <w:pPr>
              <w:pStyle w:val="T-Text"/>
              <w:spacing w:before="60" w:after="60"/>
              <w:jc w:val="center"/>
            </w:pPr>
            <w:r w:rsidRPr="00F51B8C">
              <w:t>18 months</w:t>
            </w:r>
          </w:p>
        </w:tc>
      </w:tr>
      <w:tr w:rsidR="00DE66D7" w14:paraId="18469686" w14:textId="77777777" w:rsidTr="003A7025">
        <w:tc>
          <w:tcPr>
            <w:tcW w:w="5472" w:type="dxa"/>
            <w:shd w:val="clear" w:color="auto" w:fill="F2F2F2" w:themeFill="background1" w:themeFillShade="F2"/>
            <w:vAlign w:val="center"/>
          </w:tcPr>
          <w:p w14:paraId="68A7C084" w14:textId="77777777" w:rsidR="00E32B0F" w:rsidRPr="00F51B8C" w:rsidRDefault="00495870" w:rsidP="00E32B0F">
            <w:pPr>
              <w:pStyle w:val="T-Text"/>
              <w:spacing w:before="60" w:after="60"/>
              <w:jc w:val="center"/>
            </w:pPr>
            <w:r w:rsidRPr="00F51B8C">
              <w:t>Divorce or legal separation</w:t>
            </w:r>
          </w:p>
        </w:tc>
        <w:tc>
          <w:tcPr>
            <w:tcW w:w="3888" w:type="dxa"/>
            <w:shd w:val="clear" w:color="auto" w:fill="F2F2F2" w:themeFill="background1" w:themeFillShade="F2"/>
            <w:vAlign w:val="center"/>
          </w:tcPr>
          <w:p w14:paraId="06918922" w14:textId="77777777" w:rsidR="00E32B0F" w:rsidRPr="00F51B8C" w:rsidRDefault="00495870" w:rsidP="00E32B0F">
            <w:pPr>
              <w:pStyle w:val="T-Text"/>
              <w:spacing w:before="60" w:after="60"/>
              <w:jc w:val="center"/>
            </w:pPr>
            <w:r w:rsidRPr="00F51B8C">
              <w:t>36 months</w:t>
            </w:r>
          </w:p>
        </w:tc>
      </w:tr>
      <w:tr w:rsidR="00DE66D7" w14:paraId="3A177F27" w14:textId="77777777" w:rsidTr="003A7025">
        <w:tc>
          <w:tcPr>
            <w:tcW w:w="5472" w:type="dxa"/>
            <w:shd w:val="clear" w:color="auto" w:fill="F2F2F2" w:themeFill="background1" w:themeFillShade="F2"/>
            <w:vAlign w:val="center"/>
          </w:tcPr>
          <w:p w14:paraId="67095CDB" w14:textId="77777777" w:rsidR="00E32B0F" w:rsidRPr="00F51B8C" w:rsidRDefault="00495870" w:rsidP="00E32B0F">
            <w:pPr>
              <w:pStyle w:val="T-Text"/>
              <w:spacing w:before="60" w:after="60"/>
              <w:jc w:val="center"/>
            </w:pPr>
            <w:r w:rsidRPr="00F51B8C">
              <w:t>Covered employee’s death</w:t>
            </w:r>
          </w:p>
        </w:tc>
        <w:tc>
          <w:tcPr>
            <w:tcW w:w="3888" w:type="dxa"/>
            <w:shd w:val="clear" w:color="auto" w:fill="F2F2F2" w:themeFill="background1" w:themeFillShade="F2"/>
            <w:vAlign w:val="center"/>
          </w:tcPr>
          <w:p w14:paraId="6D3C3704" w14:textId="77777777" w:rsidR="00E32B0F" w:rsidRPr="00F51B8C" w:rsidRDefault="00495870" w:rsidP="00E32B0F">
            <w:pPr>
              <w:pStyle w:val="T-Text"/>
              <w:spacing w:before="60" w:after="60"/>
              <w:jc w:val="center"/>
            </w:pPr>
            <w:r w:rsidRPr="00F51B8C">
              <w:t>36 months</w:t>
            </w:r>
          </w:p>
        </w:tc>
      </w:tr>
      <w:tr w:rsidR="00DE66D7" w14:paraId="18B078B1" w14:textId="77777777" w:rsidTr="003A7025">
        <w:tc>
          <w:tcPr>
            <w:tcW w:w="5472" w:type="dxa"/>
            <w:shd w:val="clear" w:color="auto" w:fill="F2F2F2" w:themeFill="background1" w:themeFillShade="F2"/>
            <w:vAlign w:val="center"/>
          </w:tcPr>
          <w:p w14:paraId="3275C7D2" w14:textId="77777777" w:rsidR="00E32B0F" w:rsidRPr="00F51B8C" w:rsidRDefault="00495870" w:rsidP="00E32B0F">
            <w:pPr>
              <w:pStyle w:val="T-Text"/>
              <w:spacing w:before="60" w:after="60"/>
              <w:jc w:val="center"/>
            </w:pPr>
            <w:r w:rsidRPr="00F51B8C">
              <w:t>Child’s loss of dependent status under plan’s terms</w:t>
            </w:r>
          </w:p>
        </w:tc>
        <w:tc>
          <w:tcPr>
            <w:tcW w:w="3888" w:type="dxa"/>
            <w:shd w:val="clear" w:color="auto" w:fill="F2F2F2" w:themeFill="background1" w:themeFillShade="F2"/>
            <w:vAlign w:val="center"/>
          </w:tcPr>
          <w:p w14:paraId="6B7F9628" w14:textId="77777777" w:rsidR="00E32B0F" w:rsidRPr="00F51B8C" w:rsidRDefault="00495870" w:rsidP="00E32B0F">
            <w:pPr>
              <w:pStyle w:val="T-Text"/>
              <w:spacing w:before="60" w:after="60"/>
              <w:jc w:val="center"/>
            </w:pPr>
            <w:r w:rsidRPr="00F51B8C">
              <w:t>36 months</w:t>
            </w:r>
          </w:p>
        </w:tc>
      </w:tr>
      <w:tr w:rsidR="00DE66D7" w14:paraId="0E340A37" w14:textId="77777777" w:rsidTr="003A7025">
        <w:tc>
          <w:tcPr>
            <w:tcW w:w="5472" w:type="dxa"/>
            <w:shd w:val="clear" w:color="auto" w:fill="F2F2F2" w:themeFill="background1" w:themeFillShade="F2"/>
            <w:vAlign w:val="center"/>
          </w:tcPr>
          <w:p w14:paraId="4512D107" w14:textId="77777777" w:rsidR="00E32B0F" w:rsidRPr="00F51B8C" w:rsidRDefault="00495870" w:rsidP="00E32B0F">
            <w:pPr>
              <w:pStyle w:val="T-Text"/>
              <w:spacing w:before="60" w:after="60"/>
              <w:jc w:val="center"/>
            </w:pPr>
            <w:r w:rsidRPr="00F51B8C">
              <w:t>Entitlement to Medicare</w:t>
            </w:r>
          </w:p>
        </w:tc>
        <w:tc>
          <w:tcPr>
            <w:tcW w:w="3888" w:type="dxa"/>
            <w:shd w:val="clear" w:color="auto" w:fill="F2F2F2" w:themeFill="background1" w:themeFillShade="F2"/>
            <w:vAlign w:val="center"/>
          </w:tcPr>
          <w:p w14:paraId="7DE9D241" w14:textId="77777777" w:rsidR="00E32B0F" w:rsidRPr="00F51B8C" w:rsidRDefault="00495870" w:rsidP="00E32B0F">
            <w:pPr>
              <w:pStyle w:val="T-Text"/>
              <w:spacing w:before="60" w:after="60"/>
              <w:jc w:val="center"/>
            </w:pPr>
            <w:r w:rsidRPr="00F51B8C">
              <w:t>36 months</w:t>
            </w:r>
          </w:p>
        </w:tc>
      </w:tr>
      <w:tr w:rsidR="00DE66D7" w14:paraId="58601B36" w14:textId="77777777" w:rsidTr="003A7025">
        <w:tc>
          <w:tcPr>
            <w:tcW w:w="5472" w:type="dxa"/>
            <w:shd w:val="clear" w:color="auto" w:fill="F2F2F2" w:themeFill="background1" w:themeFillShade="F2"/>
            <w:vAlign w:val="center"/>
          </w:tcPr>
          <w:p w14:paraId="7D78AA88" w14:textId="77777777" w:rsidR="00E32B0F" w:rsidRPr="00F51B8C" w:rsidRDefault="00495870" w:rsidP="00E32B0F">
            <w:pPr>
              <w:pStyle w:val="T-Text"/>
              <w:spacing w:before="60" w:after="60"/>
              <w:jc w:val="center"/>
            </w:pPr>
            <w:r w:rsidRPr="00F51B8C">
              <w:t>Employer bankruptcy (for retirees and their dependents)</w:t>
            </w:r>
          </w:p>
        </w:tc>
        <w:tc>
          <w:tcPr>
            <w:tcW w:w="3888" w:type="dxa"/>
            <w:shd w:val="clear" w:color="auto" w:fill="F2F2F2" w:themeFill="background1" w:themeFillShade="F2"/>
            <w:vAlign w:val="center"/>
          </w:tcPr>
          <w:p w14:paraId="19331959" w14:textId="77777777" w:rsidR="00E32B0F" w:rsidRPr="00F51B8C" w:rsidRDefault="00495870" w:rsidP="00E32B0F">
            <w:pPr>
              <w:pStyle w:val="T-Text"/>
              <w:spacing w:before="60" w:after="60"/>
              <w:jc w:val="center"/>
            </w:pPr>
            <w:r w:rsidRPr="00F51B8C">
              <w:t>36 months</w:t>
            </w:r>
          </w:p>
        </w:tc>
      </w:tr>
    </w:tbl>
    <w:p w14:paraId="7A00C313" w14:textId="77777777" w:rsidR="00E32B0F" w:rsidRDefault="00495870" w:rsidP="00190ADE">
      <w:pPr>
        <w:pStyle w:val="Heading1"/>
        <w:spacing w:before="360"/>
      </w:pPr>
      <w:r>
        <w:t>How Long Does COBRA Coverage Last?</w:t>
      </w:r>
    </w:p>
    <w:p w14:paraId="0A48B5A7" w14:textId="77777777" w:rsidR="00E32B0F" w:rsidRPr="00E32B0F" w:rsidRDefault="00495870" w:rsidP="00190ADE">
      <w:pPr>
        <w:pStyle w:val="BodyText"/>
        <w:spacing w:before="120"/>
      </w:pPr>
      <w:r w:rsidRPr="00803ECD">
        <w:t>COBRA requires that continuation coverage extend</w:t>
      </w:r>
      <w:r>
        <w:t>s</w:t>
      </w:r>
      <w:r w:rsidRPr="00803ECD">
        <w:t xml:space="preserve"> from the date of the qualifying event for a limited period of time of 18 or 36 months, as described in the chart above. A group health plan may terminate continuation coverage earlier than the end of the maximum period for any of the following reasons:</w:t>
      </w:r>
    </w:p>
    <w:p w14:paraId="226D83FD" w14:textId="77777777" w:rsidR="00E32B0F" w:rsidRPr="00803ECD" w:rsidRDefault="00495870" w:rsidP="00E32B0F">
      <w:pPr>
        <w:pStyle w:val="Bullets"/>
        <w:numPr>
          <w:ilvl w:val="0"/>
          <w:numId w:val="15"/>
        </w:numPr>
        <w:spacing w:after="120"/>
        <w:rPr>
          <w:szCs w:val="22"/>
        </w:rPr>
      </w:pPr>
      <w:r w:rsidRPr="00803ECD">
        <w:rPr>
          <w:szCs w:val="22"/>
        </w:rPr>
        <w:lastRenderedPageBreak/>
        <w:t>Pr</w:t>
      </w:r>
      <w:r w:rsidRPr="00803ECD">
        <w:rPr>
          <w:szCs w:val="22"/>
        </w:rPr>
        <w:t xml:space="preserve">emiums are not </w:t>
      </w:r>
      <w:r>
        <w:rPr>
          <w:szCs w:val="22"/>
        </w:rPr>
        <w:t>paid in full on a timely basis;</w:t>
      </w:r>
    </w:p>
    <w:p w14:paraId="5E6D3CDA" w14:textId="77777777" w:rsidR="00E32B0F" w:rsidRPr="00803ECD" w:rsidRDefault="00495870" w:rsidP="00E32B0F">
      <w:pPr>
        <w:pStyle w:val="Bullets"/>
        <w:numPr>
          <w:ilvl w:val="0"/>
          <w:numId w:val="15"/>
        </w:numPr>
        <w:spacing w:after="120"/>
        <w:rPr>
          <w:szCs w:val="22"/>
        </w:rPr>
      </w:pPr>
      <w:r w:rsidRPr="00803ECD">
        <w:rPr>
          <w:szCs w:val="22"/>
        </w:rPr>
        <w:t xml:space="preserve">The employer ceases to </w:t>
      </w:r>
      <w:r>
        <w:rPr>
          <w:szCs w:val="22"/>
        </w:rPr>
        <w:t>maintain any group health plan;</w:t>
      </w:r>
    </w:p>
    <w:p w14:paraId="1FC45D06" w14:textId="77777777" w:rsidR="00E32B0F" w:rsidRPr="00803ECD" w:rsidRDefault="00495870" w:rsidP="00E32B0F">
      <w:pPr>
        <w:pStyle w:val="Bullets"/>
        <w:numPr>
          <w:ilvl w:val="0"/>
          <w:numId w:val="15"/>
        </w:numPr>
        <w:spacing w:after="120"/>
        <w:rPr>
          <w:szCs w:val="22"/>
        </w:rPr>
      </w:pPr>
      <w:r w:rsidRPr="00803ECD">
        <w:rPr>
          <w:szCs w:val="22"/>
        </w:rPr>
        <w:t xml:space="preserve">A qualified beneficiary begins coverage under another group health plan after </w:t>
      </w:r>
      <w:r>
        <w:rPr>
          <w:szCs w:val="22"/>
        </w:rPr>
        <w:t>electing continuation coverage;</w:t>
      </w:r>
    </w:p>
    <w:p w14:paraId="4B318340" w14:textId="77777777" w:rsidR="00E32B0F" w:rsidRPr="00803ECD" w:rsidRDefault="00495870" w:rsidP="00E32B0F">
      <w:pPr>
        <w:pStyle w:val="Bullets"/>
        <w:numPr>
          <w:ilvl w:val="0"/>
          <w:numId w:val="15"/>
        </w:numPr>
        <w:spacing w:after="120"/>
        <w:rPr>
          <w:szCs w:val="22"/>
        </w:rPr>
      </w:pPr>
      <w:r w:rsidRPr="00803ECD">
        <w:rPr>
          <w:szCs w:val="22"/>
        </w:rPr>
        <w:t xml:space="preserve">A qualified beneficiary becomes entitled to </w:t>
      </w:r>
      <w:r w:rsidRPr="00803ECD">
        <w:rPr>
          <w:szCs w:val="22"/>
        </w:rPr>
        <w:t>Medicare benefits after electing continuation coverage; or</w:t>
      </w:r>
    </w:p>
    <w:p w14:paraId="45850072" w14:textId="77777777" w:rsidR="00E32B0F" w:rsidRPr="00803ECD" w:rsidRDefault="00495870" w:rsidP="00E32B0F">
      <w:pPr>
        <w:pStyle w:val="Bullets"/>
        <w:numPr>
          <w:ilvl w:val="0"/>
          <w:numId w:val="15"/>
        </w:numPr>
        <w:spacing w:after="120"/>
        <w:rPr>
          <w:szCs w:val="22"/>
        </w:rPr>
      </w:pPr>
      <w:r w:rsidRPr="00803ECD">
        <w:rPr>
          <w:szCs w:val="22"/>
        </w:rPr>
        <w:t>A qualified beneficiary engages in conduct that would justify the plan in terminating coverage of a similarly situated participant or beneficiary not receiving continuation coverage (such as fra</w:t>
      </w:r>
      <w:r>
        <w:rPr>
          <w:szCs w:val="22"/>
        </w:rPr>
        <w:t>ud)</w:t>
      </w:r>
      <w:r>
        <w:rPr>
          <w:szCs w:val="22"/>
        </w:rPr>
        <w:t>.</w:t>
      </w:r>
    </w:p>
    <w:p w14:paraId="1A6EF939" w14:textId="77777777" w:rsidR="00E32B0F" w:rsidRDefault="00495870" w:rsidP="00E32B0F">
      <w:pPr>
        <w:pStyle w:val="BodyText"/>
        <w:rPr>
          <w:szCs w:val="22"/>
        </w:rPr>
      </w:pPr>
      <w:r w:rsidRPr="00803ECD">
        <w:rPr>
          <w:szCs w:val="22"/>
        </w:rPr>
        <w:t>If continuation coverage is terminated early, the plan must provide the qualified beneficiary with an early termination notice.</w:t>
      </w:r>
    </w:p>
    <w:p w14:paraId="2E5BB116" w14:textId="77777777" w:rsidR="00E32B0F" w:rsidRDefault="00495870" w:rsidP="00E32B0F">
      <w:pPr>
        <w:pStyle w:val="BodyText"/>
        <w:rPr>
          <w:szCs w:val="22"/>
        </w:rPr>
      </w:pPr>
      <w:r w:rsidRPr="00344843">
        <w:rPr>
          <w:szCs w:val="22"/>
        </w:rPr>
        <w:t>There are two situations that can extend the 18-month maximum period of continuation coverage:</w:t>
      </w:r>
    </w:p>
    <w:tbl>
      <w:tblPr>
        <w:tblW w:w="0" w:type="auto"/>
        <w:jc w:val="center"/>
        <w:tblBorders>
          <w:insideH w:val="single" w:sz="18" w:space="0" w:color="FFFFFF"/>
          <w:insideV w:val="single" w:sz="18" w:space="0" w:color="FFFFFF"/>
        </w:tblBorders>
        <w:tblLook w:val="04A0" w:firstRow="1" w:lastRow="0" w:firstColumn="1" w:lastColumn="0" w:noHBand="0" w:noVBand="1"/>
      </w:tblPr>
      <w:tblGrid>
        <w:gridCol w:w="1525"/>
        <w:gridCol w:w="1890"/>
        <w:gridCol w:w="3960"/>
        <w:gridCol w:w="1975"/>
      </w:tblGrid>
      <w:tr w:rsidR="00DE66D7" w14:paraId="6D9A0A22" w14:textId="77777777" w:rsidTr="00E32B0F">
        <w:trPr>
          <w:jc w:val="center"/>
        </w:trPr>
        <w:tc>
          <w:tcPr>
            <w:tcW w:w="1525" w:type="dxa"/>
            <w:shd w:val="clear" w:color="auto" w:fill="E5874D"/>
            <w:vAlign w:val="center"/>
          </w:tcPr>
          <w:p w14:paraId="0EA5675F" w14:textId="77777777" w:rsidR="00E32B0F" w:rsidRPr="0042553F" w:rsidRDefault="00495870" w:rsidP="00E32B0F">
            <w:pPr>
              <w:pStyle w:val="T-Text"/>
              <w:spacing w:before="80" w:after="80"/>
              <w:jc w:val="center"/>
              <w:rPr>
                <w:b/>
                <w:color w:val="FFFFFF"/>
              </w:rPr>
            </w:pPr>
            <w:r w:rsidRPr="0042553F">
              <w:rPr>
                <w:b/>
                <w:color w:val="FFFFFF"/>
              </w:rPr>
              <w:t>Type of Extension</w:t>
            </w:r>
          </w:p>
        </w:tc>
        <w:tc>
          <w:tcPr>
            <w:tcW w:w="1890" w:type="dxa"/>
            <w:shd w:val="clear" w:color="auto" w:fill="E5874D"/>
            <w:vAlign w:val="center"/>
          </w:tcPr>
          <w:p w14:paraId="7A7B5AD6" w14:textId="77777777" w:rsidR="00E32B0F" w:rsidRPr="0042553F" w:rsidRDefault="00495870" w:rsidP="00E32B0F">
            <w:pPr>
              <w:pStyle w:val="T-Text"/>
              <w:spacing w:before="80" w:after="80"/>
              <w:jc w:val="center"/>
              <w:rPr>
                <w:b/>
                <w:color w:val="FFFFFF"/>
              </w:rPr>
            </w:pPr>
            <w:r w:rsidRPr="0042553F">
              <w:rPr>
                <w:b/>
                <w:color w:val="FFFFFF"/>
              </w:rPr>
              <w:t>Length</w:t>
            </w:r>
          </w:p>
        </w:tc>
        <w:tc>
          <w:tcPr>
            <w:tcW w:w="3960" w:type="dxa"/>
            <w:shd w:val="clear" w:color="auto" w:fill="E5874D"/>
            <w:vAlign w:val="center"/>
          </w:tcPr>
          <w:p w14:paraId="6958ADD7" w14:textId="77777777" w:rsidR="00E32B0F" w:rsidRPr="0042553F" w:rsidRDefault="00495870" w:rsidP="00E32B0F">
            <w:pPr>
              <w:pStyle w:val="T-Text"/>
              <w:spacing w:before="80" w:after="80"/>
              <w:jc w:val="center"/>
              <w:rPr>
                <w:b/>
                <w:color w:val="FFFFFF"/>
              </w:rPr>
            </w:pPr>
            <w:r w:rsidRPr="0042553F">
              <w:rPr>
                <w:b/>
                <w:color w:val="FFFFFF"/>
              </w:rPr>
              <w:t>Requir</w:t>
            </w:r>
            <w:r w:rsidRPr="0042553F">
              <w:rPr>
                <w:b/>
                <w:color w:val="FFFFFF"/>
              </w:rPr>
              <w:t>ements</w:t>
            </w:r>
          </w:p>
        </w:tc>
        <w:tc>
          <w:tcPr>
            <w:tcW w:w="1975" w:type="dxa"/>
            <w:shd w:val="clear" w:color="auto" w:fill="E5874D"/>
            <w:vAlign w:val="center"/>
          </w:tcPr>
          <w:p w14:paraId="0A11F2BE" w14:textId="77777777" w:rsidR="00E32B0F" w:rsidRPr="0042553F" w:rsidRDefault="00495870" w:rsidP="00E32B0F">
            <w:pPr>
              <w:pStyle w:val="T-Text"/>
              <w:spacing w:before="80" w:after="80"/>
              <w:jc w:val="center"/>
              <w:rPr>
                <w:b/>
                <w:color w:val="FFFFFF"/>
              </w:rPr>
            </w:pPr>
            <w:r w:rsidRPr="0042553F">
              <w:rPr>
                <w:b/>
                <w:color w:val="FFFFFF"/>
              </w:rPr>
              <w:t>Who Qualifies</w:t>
            </w:r>
          </w:p>
        </w:tc>
      </w:tr>
      <w:tr w:rsidR="00DE66D7" w14:paraId="21EBFA26" w14:textId="77777777" w:rsidTr="003A7025">
        <w:trPr>
          <w:jc w:val="center"/>
        </w:trPr>
        <w:tc>
          <w:tcPr>
            <w:tcW w:w="1525" w:type="dxa"/>
            <w:shd w:val="clear" w:color="auto" w:fill="F2F2F2"/>
            <w:vAlign w:val="center"/>
          </w:tcPr>
          <w:p w14:paraId="4983B383" w14:textId="77777777" w:rsidR="00E32B0F" w:rsidRPr="00E32B0F" w:rsidRDefault="00495870" w:rsidP="003A7025">
            <w:pPr>
              <w:pStyle w:val="T-Text"/>
              <w:spacing w:before="80" w:after="80"/>
              <w:jc w:val="center"/>
              <w:rPr>
                <w:b/>
              </w:rPr>
            </w:pPr>
            <w:r w:rsidRPr="00E32B0F">
              <w:rPr>
                <w:b/>
              </w:rPr>
              <w:t>Disability</w:t>
            </w:r>
          </w:p>
        </w:tc>
        <w:tc>
          <w:tcPr>
            <w:tcW w:w="1890" w:type="dxa"/>
            <w:shd w:val="clear" w:color="auto" w:fill="F2F2F2"/>
            <w:vAlign w:val="center"/>
          </w:tcPr>
          <w:p w14:paraId="5C8A777D" w14:textId="77777777" w:rsidR="00E32B0F" w:rsidRPr="00F51B8C" w:rsidRDefault="00495870" w:rsidP="003A7025">
            <w:pPr>
              <w:pStyle w:val="T-Text"/>
              <w:spacing w:before="80" w:after="80"/>
              <w:jc w:val="center"/>
            </w:pPr>
            <w:r w:rsidRPr="00F51B8C">
              <w:t>11-month extension (for a total of 29 months of continuation coverage)</w:t>
            </w:r>
          </w:p>
        </w:tc>
        <w:tc>
          <w:tcPr>
            <w:tcW w:w="3960" w:type="dxa"/>
            <w:shd w:val="clear" w:color="auto" w:fill="F2F2F2"/>
            <w:vAlign w:val="center"/>
          </w:tcPr>
          <w:p w14:paraId="4716DA84" w14:textId="77777777" w:rsidR="00E32B0F" w:rsidRDefault="00495870" w:rsidP="003A7025">
            <w:pPr>
              <w:pStyle w:val="T-Text"/>
              <w:spacing w:before="80" w:after="80"/>
              <w:jc w:val="center"/>
            </w:pPr>
            <w:r w:rsidRPr="00F51B8C">
              <w:t>The Social Security Administration (SS</w:t>
            </w:r>
            <w:r>
              <w:t xml:space="preserve">A) determines that the </w:t>
            </w:r>
            <w:r w:rsidRPr="00F51B8C">
              <w:t xml:space="preserve">qualified beneficiary is disabled before the 60th day of continuation coverage and the </w:t>
            </w:r>
            <w:r w:rsidRPr="00F51B8C">
              <w:t>disability continues during the rest of the initial 18-month period of continuation coverage.</w:t>
            </w:r>
          </w:p>
        </w:tc>
        <w:tc>
          <w:tcPr>
            <w:tcW w:w="1975" w:type="dxa"/>
            <w:shd w:val="clear" w:color="auto" w:fill="F2F2F2"/>
            <w:vAlign w:val="center"/>
          </w:tcPr>
          <w:p w14:paraId="52C9C734" w14:textId="77777777" w:rsidR="00E32B0F" w:rsidRPr="00F51B8C" w:rsidRDefault="00495870" w:rsidP="003A7025">
            <w:pPr>
              <w:pStyle w:val="T-Text"/>
              <w:spacing w:before="80" w:after="80"/>
              <w:jc w:val="center"/>
            </w:pPr>
            <w:r w:rsidRPr="00F51B8C">
              <w:t>The qualified beneficiary with the disability and all of the qualified beneficiaries in the family</w:t>
            </w:r>
          </w:p>
        </w:tc>
      </w:tr>
      <w:tr w:rsidR="00DE66D7" w14:paraId="44768D45" w14:textId="77777777" w:rsidTr="003A7025">
        <w:trPr>
          <w:jc w:val="center"/>
        </w:trPr>
        <w:tc>
          <w:tcPr>
            <w:tcW w:w="1525" w:type="dxa"/>
            <w:shd w:val="clear" w:color="auto" w:fill="F2F2F2"/>
            <w:vAlign w:val="center"/>
          </w:tcPr>
          <w:p w14:paraId="74E838A0" w14:textId="77777777" w:rsidR="00E32B0F" w:rsidRPr="00E32B0F" w:rsidRDefault="00495870" w:rsidP="003A7025">
            <w:pPr>
              <w:pStyle w:val="T-Text"/>
              <w:spacing w:before="80" w:after="80"/>
              <w:jc w:val="center"/>
              <w:rPr>
                <w:b/>
              </w:rPr>
            </w:pPr>
            <w:r w:rsidRPr="00E32B0F">
              <w:rPr>
                <w:b/>
              </w:rPr>
              <w:t>Second qualifying event</w:t>
            </w:r>
          </w:p>
        </w:tc>
        <w:tc>
          <w:tcPr>
            <w:tcW w:w="1890" w:type="dxa"/>
            <w:shd w:val="clear" w:color="auto" w:fill="F2F2F2"/>
            <w:vAlign w:val="center"/>
          </w:tcPr>
          <w:p w14:paraId="0BD15481" w14:textId="77777777" w:rsidR="00E32B0F" w:rsidRPr="00F51B8C" w:rsidRDefault="00495870" w:rsidP="003A7025">
            <w:pPr>
              <w:pStyle w:val="T-Text"/>
              <w:spacing w:before="80" w:after="80"/>
              <w:jc w:val="center"/>
            </w:pPr>
            <w:r w:rsidRPr="00F51B8C">
              <w:t xml:space="preserve">18-month extension (for a total of </w:t>
            </w:r>
            <w:r w:rsidRPr="00F51B8C">
              <w:t>36 months of continuation coverage)</w:t>
            </w:r>
          </w:p>
        </w:tc>
        <w:tc>
          <w:tcPr>
            <w:tcW w:w="3960" w:type="dxa"/>
            <w:shd w:val="clear" w:color="auto" w:fill="F2F2F2"/>
            <w:vAlign w:val="center"/>
          </w:tcPr>
          <w:p w14:paraId="78A38E6F" w14:textId="77777777" w:rsidR="00E32B0F" w:rsidRPr="00F51B8C" w:rsidRDefault="00495870" w:rsidP="003A7025">
            <w:pPr>
              <w:pStyle w:val="T-Text"/>
              <w:spacing w:before="80" w:after="80"/>
              <w:jc w:val="center"/>
            </w:pPr>
            <w:r w:rsidRPr="00F51B8C">
              <w:t xml:space="preserve">A second qualifying event occurs that is </w:t>
            </w:r>
            <w:r>
              <w:t xml:space="preserve">the </w:t>
            </w:r>
            <w:r w:rsidRPr="00F51B8C">
              <w:t xml:space="preserve">death of the covered employee, </w:t>
            </w:r>
            <w:r>
              <w:t xml:space="preserve">the </w:t>
            </w:r>
            <w:r w:rsidRPr="00F51B8C">
              <w:t>divorce or legal separation of the covered employee and spouse, Medicare entitlement (in certain circumstances) or loss of dependent child s</w:t>
            </w:r>
            <w:r w:rsidRPr="00F51B8C">
              <w:t>tatus under the plan. The second event can be a second qualifying event only if it would have caused the qualified beneficiary to lose coverage under the plan in the absence of the first qualifying event.</w:t>
            </w:r>
          </w:p>
        </w:tc>
        <w:tc>
          <w:tcPr>
            <w:tcW w:w="1975" w:type="dxa"/>
            <w:shd w:val="clear" w:color="auto" w:fill="F2F2F2"/>
            <w:vAlign w:val="center"/>
          </w:tcPr>
          <w:p w14:paraId="359C33A8" w14:textId="77777777" w:rsidR="00E32B0F" w:rsidRPr="00F51B8C" w:rsidRDefault="00495870" w:rsidP="003A7025">
            <w:pPr>
              <w:pStyle w:val="T-Text"/>
              <w:spacing w:before="80" w:after="80"/>
              <w:jc w:val="center"/>
            </w:pPr>
            <w:r w:rsidRPr="00F51B8C">
              <w:t>Qualified beneficiaries who are covered spouses and</w:t>
            </w:r>
            <w:r w:rsidRPr="00F51B8C">
              <w:t xml:space="preserve"> children</w:t>
            </w:r>
          </w:p>
        </w:tc>
      </w:tr>
    </w:tbl>
    <w:p w14:paraId="131676B9" w14:textId="77777777" w:rsidR="00E32B0F" w:rsidRDefault="00495870" w:rsidP="00190ADE">
      <w:pPr>
        <w:pStyle w:val="Heading1"/>
        <w:spacing w:before="360"/>
      </w:pPr>
      <w:r>
        <w:t>What Benefits Must Be Offered?</w:t>
      </w:r>
    </w:p>
    <w:p w14:paraId="5FD544D6" w14:textId="77777777" w:rsidR="00E32B0F" w:rsidRDefault="00495870" w:rsidP="00190ADE">
      <w:pPr>
        <w:pStyle w:val="BodyText"/>
        <w:spacing w:before="120"/>
      </w:pPr>
      <w:r>
        <w:t>Qualified beneficiaries must be offered coverage that is identical to that available to similarly situated beneficiaries who are not receiving COBRA coverage under the plan. Generally, this will be the same coverag</w:t>
      </w:r>
      <w:r>
        <w:t xml:space="preserve">e that the qualified beneficiary had immediately before qualifying for continuation coverage.  A </w:t>
      </w:r>
      <w:r>
        <w:lastRenderedPageBreak/>
        <w:t>change in the benefits under the plan for the active employees will also apply to qualified beneficiaries.  Qualified beneficiaries must be allowed to make the</w:t>
      </w:r>
      <w:r>
        <w:t xml:space="preserve"> same choices given to non-COBRA beneficiaries under the plan, such as during periods of open enrollment by the plan.</w:t>
      </w:r>
    </w:p>
    <w:p w14:paraId="13BEB756" w14:textId="77777777" w:rsidR="00E32B0F" w:rsidRDefault="00495870" w:rsidP="00E32B0F">
      <w:pPr>
        <w:pStyle w:val="Heading1"/>
      </w:pPr>
      <w:r>
        <w:t>Who Pays for COBRA Coverage?</w:t>
      </w:r>
    </w:p>
    <w:p w14:paraId="168C1FCF" w14:textId="77777777" w:rsidR="00E32B0F" w:rsidRDefault="00495870" w:rsidP="00190ADE">
      <w:pPr>
        <w:pStyle w:val="BodyText"/>
        <w:spacing w:before="120"/>
      </w:pPr>
      <w:r>
        <w:t xml:space="preserve">Group health plans can require qualified beneficiaries to pay for COBRA continuation coverage, although plan </w:t>
      </w:r>
      <w:r>
        <w:t xml:space="preserve">sponsors can choose to provide continuation coverage at reduced or no cost. The maximum amount charged to qualified beneficiaries cannot exceed </w:t>
      </w:r>
      <w:r w:rsidRPr="00E32B0F">
        <w:rPr>
          <w:b/>
        </w:rPr>
        <w:t xml:space="preserve">102 percent </w:t>
      </w:r>
      <w:r>
        <w:t>of the cost to the plan for similarly situated individuals covered under the plan who have not incur</w:t>
      </w:r>
      <w:r>
        <w:t xml:space="preserve">red a qualifying event. For qualified beneficiaries receiving the 11-month disability extension, the premium for those additional months may be increased to </w:t>
      </w:r>
      <w:r w:rsidRPr="00E32B0F">
        <w:rPr>
          <w:b/>
        </w:rPr>
        <w:t>150 percent</w:t>
      </w:r>
      <w:r>
        <w:t xml:space="preserve"> of the plan's total cost of coverage.</w:t>
      </w:r>
    </w:p>
    <w:p w14:paraId="18ACF934" w14:textId="77777777" w:rsidR="00E32B0F" w:rsidRDefault="00495870" w:rsidP="00E32B0F">
      <w:pPr>
        <w:pStyle w:val="BodyText"/>
      </w:pPr>
      <w:r>
        <w:t>COBRA premiums may be increased if the costs to t</w:t>
      </w:r>
      <w:r>
        <w:t>he plan increase, but they generally must be fixed in advance of each 12-month premium cycle. The plan must allow qualified beneficiaries to pay premiums on a monthly basis if they ask to do so, and the plan may allow them to make payments at other interva</w:t>
      </w:r>
      <w:r>
        <w:t>ls (weekly or quarterly).</w:t>
      </w:r>
    </w:p>
    <w:p w14:paraId="3EE111CA" w14:textId="77777777" w:rsidR="00E32B0F" w:rsidRDefault="00495870" w:rsidP="00E32B0F">
      <w:pPr>
        <w:pStyle w:val="BodyText"/>
      </w:pPr>
      <w:r>
        <w:t xml:space="preserve">Also, qualified beneficiaries cannot be required to pay premiums at the time they make COBRA elections. Plans must provide at least 45 days after the election for making an initial premium payment. If a qualified </w:t>
      </w:r>
      <w:r>
        <w:t>beneficiary fails to make any payment before the end of the initial 45-day period, the plan can terminate the qualified beneficiary's COBRA rights. The plan sponsor may establish due dates for premiums for subsequent periods of coverage, but it must provid</w:t>
      </w:r>
      <w:r>
        <w:t>e a minimum 30-day grace period for each payment.</w:t>
      </w:r>
    </w:p>
    <w:p w14:paraId="5B743A50" w14:textId="77777777" w:rsidR="00E32B0F" w:rsidRDefault="00495870" w:rsidP="00E32B0F">
      <w:pPr>
        <w:pStyle w:val="Heading1"/>
      </w:pPr>
      <w:r>
        <w:t>What Notices Must be Provided?</w:t>
      </w:r>
    </w:p>
    <w:p w14:paraId="14EDF74A" w14:textId="77777777" w:rsidR="00E32B0F" w:rsidRDefault="00495870" w:rsidP="00190ADE">
      <w:pPr>
        <w:pStyle w:val="BodyText"/>
        <w:spacing w:before="120"/>
      </w:pPr>
      <w:r>
        <w:t>The following COBRA notices are required to be provided in certain situations:</w:t>
      </w:r>
    </w:p>
    <w:tbl>
      <w:tblPr>
        <w:tblW w:w="9405" w:type="dxa"/>
        <w:jc w:val="center"/>
        <w:tblBorders>
          <w:insideH w:val="single" w:sz="18" w:space="0" w:color="FFFFFF"/>
        </w:tblBorders>
        <w:tblLook w:val="04A0" w:firstRow="1" w:lastRow="0" w:firstColumn="1" w:lastColumn="0" w:noHBand="0" w:noVBand="1"/>
      </w:tblPr>
      <w:tblGrid>
        <w:gridCol w:w="2812"/>
        <w:gridCol w:w="6593"/>
      </w:tblGrid>
      <w:tr w:rsidR="00DE66D7" w14:paraId="6068670B" w14:textId="77777777" w:rsidTr="00190ADE">
        <w:trPr>
          <w:jc w:val="center"/>
        </w:trPr>
        <w:tc>
          <w:tcPr>
            <w:tcW w:w="2812" w:type="dxa"/>
            <w:tcBorders>
              <w:bottom w:val="single" w:sz="18" w:space="0" w:color="FFFFFF"/>
            </w:tcBorders>
            <w:shd w:val="clear" w:color="auto" w:fill="4884A2"/>
          </w:tcPr>
          <w:p w14:paraId="08349EC3" w14:textId="77777777" w:rsidR="00E32B0F" w:rsidRPr="0042553F" w:rsidRDefault="00495870" w:rsidP="00190ADE">
            <w:pPr>
              <w:pStyle w:val="T-Text"/>
              <w:jc w:val="center"/>
              <w:rPr>
                <w:b/>
                <w:color w:val="FFFFFF"/>
              </w:rPr>
            </w:pPr>
            <w:r w:rsidRPr="0042553F">
              <w:rPr>
                <w:b/>
                <w:color w:val="FFFFFF"/>
              </w:rPr>
              <w:t>COBRA Notice</w:t>
            </w:r>
          </w:p>
        </w:tc>
        <w:tc>
          <w:tcPr>
            <w:tcW w:w="6593" w:type="dxa"/>
            <w:tcBorders>
              <w:bottom w:val="single" w:sz="18" w:space="0" w:color="FFFFFF"/>
            </w:tcBorders>
            <w:shd w:val="clear" w:color="auto" w:fill="4884A2"/>
          </w:tcPr>
          <w:p w14:paraId="65BB6040" w14:textId="77777777" w:rsidR="00E32B0F" w:rsidRPr="0042553F" w:rsidRDefault="00495870" w:rsidP="00190ADE">
            <w:pPr>
              <w:pStyle w:val="T-Text"/>
              <w:jc w:val="center"/>
              <w:rPr>
                <w:b/>
                <w:color w:val="FFFFFF"/>
              </w:rPr>
            </w:pPr>
            <w:r w:rsidRPr="0042553F">
              <w:rPr>
                <w:b/>
                <w:color w:val="FFFFFF"/>
              </w:rPr>
              <w:t>Description</w:t>
            </w:r>
          </w:p>
        </w:tc>
      </w:tr>
      <w:tr w:rsidR="00DE66D7" w14:paraId="67DD9475" w14:textId="77777777" w:rsidTr="00190ADE">
        <w:trPr>
          <w:jc w:val="center"/>
        </w:trPr>
        <w:tc>
          <w:tcPr>
            <w:tcW w:w="2812" w:type="dxa"/>
            <w:tcBorders>
              <w:top w:val="single" w:sz="18" w:space="0" w:color="FFFFFF"/>
              <w:bottom w:val="single" w:sz="18" w:space="0" w:color="FFFFFF" w:themeColor="background1"/>
              <w:right w:val="single" w:sz="18" w:space="0" w:color="FFFFFF" w:themeColor="background1"/>
            </w:tcBorders>
            <w:shd w:val="clear" w:color="auto" w:fill="F2F2F2" w:themeFill="background1" w:themeFillShade="F2"/>
            <w:vAlign w:val="center"/>
          </w:tcPr>
          <w:p w14:paraId="2045EB23" w14:textId="77777777" w:rsidR="00E32B0F" w:rsidRPr="00E32B0F" w:rsidRDefault="00495870" w:rsidP="00190ADE">
            <w:pPr>
              <w:pStyle w:val="T-Text"/>
              <w:jc w:val="center"/>
              <w:rPr>
                <w:b/>
              </w:rPr>
            </w:pPr>
            <w:r w:rsidRPr="00E32B0F">
              <w:rPr>
                <w:b/>
              </w:rPr>
              <w:t>General (or initial) notice</w:t>
            </w:r>
          </w:p>
        </w:tc>
        <w:tc>
          <w:tcPr>
            <w:tcW w:w="6593" w:type="dxa"/>
            <w:tcBorders>
              <w:top w:val="single" w:sz="18" w:space="0" w:color="FFFFFF"/>
              <w:left w:val="single" w:sz="18" w:space="0" w:color="FFFFFF" w:themeColor="background1"/>
              <w:bottom w:val="single" w:sz="18" w:space="0" w:color="FFFFFF" w:themeColor="background1"/>
            </w:tcBorders>
            <w:shd w:val="clear" w:color="auto" w:fill="F2F2F2" w:themeFill="background1" w:themeFillShade="F2"/>
          </w:tcPr>
          <w:p w14:paraId="355A64E6" w14:textId="77777777" w:rsidR="00E32B0F" w:rsidRPr="00F51B8C" w:rsidRDefault="00495870" w:rsidP="00190ADE">
            <w:pPr>
              <w:pStyle w:val="T-Text"/>
            </w:pPr>
            <w:r w:rsidRPr="00F51B8C">
              <w:t xml:space="preserve">General description of COBRA rights under </w:t>
            </w:r>
            <w:r w:rsidRPr="00F51B8C">
              <w:t xml:space="preserve">the plan. Must be provided within </w:t>
            </w:r>
            <w:r>
              <w:t xml:space="preserve">the </w:t>
            </w:r>
            <w:r w:rsidRPr="00F51B8C">
              <w:t>first 90 days of coverage</w:t>
            </w:r>
            <w:r>
              <w:t>.</w:t>
            </w:r>
          </w:p>
        </w:tc>
      </w:tr>
      <w:tr w:rsidR="00DE66D7" w14:paraId="2B9890C0" w14:textId="77777777" w:rsidTr="00190ADE">
        <w:trPr>
          <w:jc w:val="center"/>
        </w:trPr>
        <w:tc>
          <w:tcPr>
            <w:tcW w:w="2812"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3A954297" w14:textId="77777777" w:rsidR="00E32B0F" w:rsidRPr="00E32B0F" w:rsidRDefault="00495870" w:rsidP="00190ADE">
            <w:pPr>
              <w:pStyle w:val="T-Text"/>
              <w:jc w:val="center"/>
              <w:rPr>
                <w:b/>
              </w:rPr>
            </w:pPr>
            <w:r w:rsidRPr="00E32B0F">
              <w:rPr>
                <w:b/>
              </w:rPr>
              <w:t>Election notice</w:t>
            </w:r>
          </w:p>
        </w:tc>
        <w:tc>
          <w:tcPr>
            <w:tcW w:w="6593" w:type="dxa"/>
            <w:tcBorders>
              <w:top w:val="single" w:sz="18" w:space="0" w:color="FFFFFF" w:themeColor="background1"/>
              <w:left w:val="single" w:sz="18" w:space="0" w:color="FFFFFF" w:themeColor="background1"/>
              <w:bottom w:val="single" w:sz="18" w:space="0" w:color="FFFFFF" w:themeColor="background1"/>
            </w:tcBorders>
            <w:shd w:val="clear" w:color="auto" w:fill="F2F2F2" w:themeFill="background1" w:themeFillShade="F2"/>
          </w:tcPr>
          <w:p w14:paraId="0B287EE3" w14:textId="77777777" w:rsidR="00E32B0F" w:rsidRPr="00F51B8C" w:rsidRDefault="00495870" w:rsidP="00190ADE">
            <w:pPr>
              <w:pStyle w:val="T-Text"/>
            </w:pPr>
            <w:r w:rsidRPr="00F51B8C">
              <w:t xml:space="preserve">Describes right to COBRA coverage and how to make an election. Must be provided to qualified beneficiaries after </w:t>
            </w:r>
            <w:r>
              <w:t xml:space="preserve">a </w:t>
            </w:r>
            <w:r w:rsidRPr="00F51B8C">
              <w:t>qualifying event</w:t>
            </w:r>
            <w:r>
              <w:t>.</w:t>
            </w:r>
          </w:p>
        </w:tc>
      </w:tr>
      <w:tr w:rsidR="00DE66D7" w14:paraId="28019C34" w14:textId="77777777" w:rsidTr="00190ADE">
        <w:trPr>
          <w:jc w:val="center"/>
        </w:trPr>
        <w:tc>
          <w:tcPr>
            <w:tcW w:w="2812"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16F5D7C4" w14:textId="77777777" w:rsidR="00E32B0F" w:rsidRPr="00E32B0F" w:rsidRDefault="00495870" w:rsidP="00190ADE">
            <w:pPr>
              <w:pStyle w:val="T-Text"/>
              <w:jc w:val="center"/>
              <w:rPr>
                <w:b/>
              </w:rPr>
            </w:pPr>
            <w:r w:rsidRPr="00E32B0F">
              <w:rPr>
                <w:b/>
              </w:rPr>
              <w:t>Notice of unavailability of COBRA coverage</w:t>
            </w:r>
          </w:p>
        </w:tc>
        <w:tc>
          <w:tcPr>
            <w:tcW w:w="6593" w:type="dxa"/>
            <w:tcBorders>
              <w:top w:val="single" w:sz="18" w:space="0" w:color="FFFFFF" w:themeColor="background1"/>
              <w:left w:val="single" w:sz="18" w:space="0" w:color="FFFFFF" w:themeColor="background1"/>
              <w:bottom w:val="single" w:sz="18" w:space="0" w:color="FFFFFF" w:themeColor="background1"/>
            </w:tcBorders>
            <w:shd w:val="clear" w:color="auto" w:fill="F2F2F2" w:themeFill="background1" w:themeFillShade="F2"/>
          </w:tcPr>
          <w:p w14:paraId="70632EA6" w14:textId="77777777" w:rsidR="00E32B0F" w:rsidRPr="00F51B8C" w:rsidRDefault="00495870" w:rsidP="00190ADE">
            <w:pPr>
              <w:pStyle w:val="T-Text"/>
            </w:pPr>
            <w:r w:rsidRPr="00F51B8C">
              <w:t xml:space="preserve">Must be provided after a group health plan denies a request for COBRA </w:t>
            </w:r>
            <w:r w:rsidRPr="00F51B8C">
              <w:t>coverage (or a request for an extension). It informs the individual that he or she is not eligible for COBRA coverage (or for an extension).</w:t>
            </w:r>
          </w:p>
        </w:tc>
      </w:tr>
      <w:tr w:rsidR="00DE66D7" w14:paraId="69DEF570" w14:textId="77777777" w:rsidTr="00190ADE">
        <w:trPr>
          <w:jc w:val="center"/>
        </w:trPr>
        <w:tc>
          <w:tcPr>
            <w:tcW w:w="2812" w:type="dxa"/>
            <w:tcBorders>
              <w:top w:val="single" w:sz="18" w:space="0" w:color="FFFFFF" w:themeColor="background1"/>
              <w:bottom w:val="nil"/>
              <w:right w:val="single" w:sz="18" w:space="0" w:color="FFFFFF" w:themeColor="background1"/>
            </w:tcBorders>
            <w:shd w:val="clear" w:color="auto" w:fill="F2F2F2" w:themeFill="background1" w:themeFillShade="F2"/>
            <w:vAlign w:val="center"/>
          </w:tcPr>
          <w:p w14:paraId="60D24125" w14:textId="77777777" w:rsidR="00E32B0F" w:rsidRPr="00E32B0F" w:rsidRDefault="00495870" w:rsidP="00190ADE">
            <w:pPr>
              <w:pStyle w:val="T-Text"/>
              <w:jc w:val="center"/>
              <w:rPr>
                <w:b/>
              </w:rPr>
            </w:pPr>
            <w:r w:rsidRPr="00E32B0F">
              <w:rPr>
                <w:b/>
              </w:rPr>
              <w:t>Notice of early termination of COBRA coverage</w:t>
            </w:r>
          </w:p>
        </w:tc>
        <w:tc>
          <w:tcPr>
            <w:tcW w:w="6593" w:type="dxa"/>
            <w:tcBorders>
              <w:top w:val="single" w:sz="18" w:space="0" w:color="FFFFFF" w:themeColor="background1"/>
              <w:left w:val="single" w:sz="18" w:space="0" w:color="FFFFFF" w:themeColor="background1"/>
              <w:bottom w:val="nil"/>
            </w:tcBorders>
            <w:shd w:val="clear" w:color="auto" w:fill="F2F2F2" w:themeFill="background1" w:themeFillShade="F2"/>
          </w:tcPr>
          <w:p w14:paraId="7D1A0280" w14:textId="77777777" w:rsidR="00E32B0F" w:rsidRPr="00F51B8C" w:rsidRDefault="00495870" w:rsidP="00190ADE">
            <w:pPr>
              <w:pStyle w:val="T-Text"/>
            </w:pPr>
            <w:r w:rsidRPr="00F51B8C">
              <w:t xml:space="preserve">When a group health plan decides to terminate continuation coverage </w:t>
            </w:r>
            <w:r w:rsidRPr="00F51B8C">
              <w:t>early, the plan must give the qualified beneficiary a notice of early termination.</w:t>
            </w:r>
          </w:p>
        </w:tc>
      </w:tr>
    </w:tbl>
    <w:p w14:paraId="297ABD27" w14:textId="77777777" w:rsidR="00190ADE" w:rsidRDefault="00190ADE" w:rsidP="00E32B0F">
      <w:pPr>
        <w:pStyle w:val="Heading2"/>
        <w:spacing w:before="120"/>
        <w:rPr>
          <w:szCs w:val="24"/>
        </w:rPr>
      </w:pPr>
    </w:p>
    <w:p w14:paraId="64B7577C" w14:textId="77777777" w:rsidR="00E32B0F" w:rsidRPr="00A92FAB" w:rsidRDefault="00495870" w:rsidP="00E32B0F">
      <w:pPr>
        <w:pStyle w:val="Heading2"/>
        <w:spacing w:before="120"/>
        <w:rPr>
          <w:szCs w:val="24"/>
        </w:rPr>
      </w:pPr>
      <w:r>
        <w:rPr>
          <w:szCs w:val="24"/>
        </w:rPr>
        <w:br w:type="page"/>
      </w:r>
      <w:r w:rsidR="0042553F" w:rsidRPr="00A92FAB">
        <w:rPr>
          <w:szCs w:val="24"/>
        </w:rPr>
        <w:lastRenderedPageBreak/>
        <w:t>General Notice</w:t>
      </w:r>
    </w:p>
    <w:p w14:paraId="68A41379" w14:textId="77777777" w:rsidR="00E32B0F" w:rsidRPr="00E32B0F" w:rsidRDefault="00495870" w:rsidP="00190ADE">
      <w:pPr>
        <w:pStyle w:val="BodyText"/>
        <w:spacing w:before="120"/>
      </w:pPr>
      <w:r w:rsidRPr="00A92FAB">
        <w:t xml:space="preserve">Group health plans must give plan participants a general notice describing COBRA rights under the plan. The general notice must be provided within the </w:t>
      </w:r>
      <w:r w:rsidRPr="00A92FAB">
        <w:rPr>
          <w:b/>
        </w:rPr>
        <w:t>first 90 days of coverage</w:t>
      </w:r>
      <w:r w:rsidRPr="00A92FAB">
        <w:t>. Group health plans can satisfy this requirement by including the general notic</w:t>
      </w:r>
      <w:r w:rsidRPr="00A92FAB">
        <w:t xml:space="preserve">e in the plan's summary plan description (SPD) and </w:t>
      </w:r>
      <w:r>
        <w:t xml:space="preserve">by </w:t>
      </w:r>
      <w:r w:rsidRPr="00A92FAB">
        <w:t>delivering the SPD within this time limit.</w:t>
      </w:r>
    </w:p>
    <w:p w14:paraId="798C0A94" w14:textId="77777777" w:rsidR="00E32B0F" w:rsidRPr="00E32B0F" w:rsidRDefault="00495870" w:rsidP="00E32B0F">
      <w:pPr>
        <w:pStyle w:val="BodyText"/>
      </w:pPr>
      <w:r w:rsidRPr="006B416A">
        <w:rPr>
          <w:szCs w:val="22"/>
        </w:rPr>
        <w:t>The D</w:t>
      </w:r>
      <w:r>
        <w:rPr>
          <w:szCs w:val="22"/>
        </w:rPr>
        <w:t>OL has</w:t>
      </w:r>
      <w:r w:rsidRPr="006B416A">
        <w:rPr>
          <w:szCs w:val="22"/>
        </w:rPr>
        <w:t xml:space="preserve"> developed a </w:t>
      </w:r>
      <w:hyperlink r:id="rId22" w:history="1">
        <w:r w:rsidRPr="006B416A">
          <w:rPr>
            <w:rStyle w:val="Hyperlink"/>
            <w:rFonts w:eastAsia="Calibri"/>
            <w:szCs w:val="22"/>
          </w:rPr>
          <w:t>Model General Notice</w:t>
        </w:r>
      </w:hyperlink>
      <w:r w:rsidRPr="006B416A">
        <w:rPr>
          <w:szCs w:val="22"/>
        </w:rPr>
        <w:t xml:space="preserve">, which is also available in </w:t>
      </w:r>
      <w:hyperlink r:id="rId23" w:history="1">
        <w:r w:rsidRPr="006B416A">
          <w:rPr>
            <w:rStyle w:val="Hyperlink"/>
            <w:rFonts w:eastAsia="Calibri"/>
            <w:szCs w:val="22"/>
          </w:rPr>
          <w:t>Spanish</w:t>
        </w:r>
      </w:hyperlink>
      <w:r w:rsidRPr="006B416A">
        <w:rPr>
          <w:szCs w:val="22"/>
        </w:rPr>
        <w:t>. Employers are not required to use the DOL’s Model Notice. However, use of the Model Notic</w:t>
      </w:r>
      <w:r w:rsidRPr="006B416A">
        <w:rPr>
          <w:szCs w:val="22"/>
        </w:rPr>
        <w:t>e, appropriately completed, will be considered by the DOL to be good faith compliance with COBRA’s content requir</w:t>
      </w:r>
      <w:r>
        <w:rPr>
          <w:szCs w:val="22"/>
        </w:rPr>
        <w:t>ements for the general notice.</w:t>
      </w:r>
    </w:p>
    <w:p w14:paraId="0C7ED91D" w14:textId="77777777" w:rsidR="00E32B0F" w:rsidRPr="00E32B0F" w:rsidRDefault="00495870" w:rsidP="00E32B0F">
      <w:pPr>
        <w:pStyle w:val="Heading2"/>
      </w:pPr>
      <w:r w:rsidRPr="00A92FAB">
        <w:t>Election Notice</w:t>
      </w:r>
    </w:p>
    <w:p w14:paraId="795BDF0F" w14:textId="77777777" w:rsidR="00E32B0F" w:rsidRPr="00E32B0F" w:rsidRDefault="00495870" w:rsidP="00190ADE">
      <w:pPr>
        <w:pStyle w:val="BodyText"/>
        <w:spacing w:before="120"/>
      </w:pPr>
      <w:r w:rsidRPr="00A92FAB">
        <w:t>After receiving a notice of a qualifying event, the plan must provide the qualified beneficiarie</w:t>
      </w:r>
      <w:r w:rsidRPr="00A92FAB">
        <w:t xml:space="preserve">s with an election notice, which describes their rights to continuation coverage and how to make an election. The election notice must be provided to the qualified beneficiaries within </w:t>
      </w:r>
      <w:r w:rsidRPr="00A92FAB">
        <w:rPr>
          <w:b/>
        </w:rPr>
        <w:t>14 days</w:t>
      </w:r>
      <w:r w:rsidRPr="00A92FAB">
        <w:t xml:space="preserve"> after the plan administrator receives the notice of a qualifyin</w:t>
      </w:r>
      <w:r w:rsidRPr="00A92FAB">
        <w:t>g event from the emplo</w:t>
      </w:r>
      <w:r>
        <w:t>yer or a qualified beneficiary.</w:t>
      </w:r>
    </w:p>
    <w:p w14:paraId="54894520" w14:textId="77777777" w:rsidR="00E32B0F" w:rsidRPr="00E32B0F" w:rsidRDefault="00495870" w:rsidP="00E32B0F">
      <w:pPr>
        <w:pStyle w:val="BodyText"/>
      </w:pPr>
      <w:r>
        <w:t>The employer is required to notify the plan administrator of most qualifying events. However, qualified beneficiaries are responsible for notifying the plan administrator of a divorce (or legal separati</w:t>
      </w:r>
      <w:r>
        <w:t>on) or a dependent child’s loss of dependent status under the plan.</w:t>
      </w:r>
    </w:p>
    <w:p w14:paraId="312DAE13" w14:textId="77777777" w:rsidR="00E32B0F" w:rsidRPr="00E32B0F" w:rsidRDefault="00495870" w:rsidP="00E32B0F">
      <w:pPr>
        <w:pStyle w:val="BodyText"/>
      </w:pPr>
      <w:r w:rsidRPr="00A92FAB">
        <w:t>In many cases, the employer is also the plan administrator. For qualifying events where the employer is required to provide notice to the plan administrator (termination or reduction in ho</w:t>
      </w:r>
      <w:r w:rsidRPr="00A92FAB">
        <w:t xml:space="preserve">urs, death of the employee, or employee becoming entitled to Medicare) and the employer is also the plan administrator, the election notice must be provided to the qualified beneficiary within </w:t>
      </w:r>
      <w:r w:rsidRPr="00A92FAB">
        <w:rPr>
          <w:b/>
        </w:rPr>
        <w:t>44 days</w:t>
      </w:r>
      <w:r w:rsidRPr="00A92FAB">
        <w:t xml:space="preserve"> of the later of:</w:t>
      </w:r>
    </w:p>
    <w:p w14:paraId="407BD363" w14:textId="77777777" w:rsidR="00E32B0F" w:rsidRPr="00A92FAB" w:rsidRDefault="00495870" w:rsidP="00E32B0F">
      <w:pPr>
        <w:pStyle w:val="Bullets"/>
        <w:numPr>
          <w:ilvl w:val="0"/>
          <w:numId w:val="16"/>
        </w:numPr>
        <w:spacing w:after="120"/>
        <w:rPr>
          <w:szCs w:val="22"/>
        </w:rPr>
      </w:pPr>
      <w:r w:rsidRPr="00A92FAB">
        <w:rPr>
          <w:szCs w:val="22"/>
        </w:rPr>
        <w:t>The date of the qualifying event; or</w:t>
      </w:r>
    </w:p>
    <w:p w14:paraId="6969578D" w14:textId="77777777" w:rsidR="00E32B0F" w:rsidRPr="00A92FAB" w:rsidRDefault="00495870" w:rsidP="00E32B0F">
      <w:pPr>
        <w:pStyle w:val="Bullets"/>
        <w:numPr>
          <w:ilvl w:val="0"/>
          <w:numId w:val="16"/>
        </w:numPr>
        <w:rPr>
          <w:szCs w:val="22"/>
        </w:rPr>
      </w:pPr>
      <w:r w:rsidRPr="00A92FAB">
        <w:rPr>
          <w:szCs w:val="22"/>
        </w:rPr>
        <w:t>T</w:t>
      </w:r>
      <w:r w:rsidRPr="00A92FAB">
        <w:rPr>
          <w:szCs w:val="22"/>
        </w:rPr>
        <w:t>he date on which the qualifying beneficiary loses covera</w:t>
      </w:r>
      <w:r>
        <w:rPr>
          <w:szCs w:val="22"/>
        </w:rPr>
        <w:t>ge due to the qualifying event.</w:t>
      </w:r>
    </w:p>
    <w:p w14:paraId="0950AD38" w14:textId="77777777" w:rsidR="00E32B0F" w:rsidRPr="00E32B0F" w:rsidRDefault="00495870" w:rsidP="00E32B0F">
      <w:pPr>
        <w:pStyle w:val="BodyText"/>
      </w:pPr>
      <w:r w:rsidRPr="00A92FAB">
        <w:rPr>
          <w:szCs w:val="22"/>
        </w:rPr>
        <w:t xml:space="preserve">The DOL has developed a </w:t>
      </w:r>
      <w:hyperlink r:id="rId24" w:history="1">
        <w:r w:rsidRPr="00A92FAB">
          <w:rPr>
            <w:rStyle w:val="Hyperlink"/>
            <w:rFonts w:eastAsia="Calibri"/>
            <w:szCs w:val="22"/>
          </w:rPr>
          <w:t>Model Election Notice</w:t>
        </w:r>
      </w:hyperlink>
      <w:r w:rsidRPr="00A92FAB">
        <w:rPr>
          <w:szCs w:val="22"/>
        </w:rPr>
        <w:t xml:space="preserve">, which is also available in </w:t>
      </w:r>
      <w:hyperlink r:id="rId25" w:history="1">
        <w:r w:rsidRPr="00A92FAB">
          <w:rPr>
            <w:rStyle w:val="Hyperlink"/>
            <w:rFonts w:eastAsia="Calibri"/>
            <w:szCs w:val="22"/>
          </w:rPr>
          <w:t>Spanish</w:t>
        </w:r>
      </w:hyperlink>
      <w:r w:rsidRPr="00A92FAB">
        <w:rPr>
          <w:szCs w:val="22"/>
        </w:rPr>
        <w:t>. The model notice includes information about other coverage options that may be available through the Health Insurance Marketplace (or Exchanges) as potentially more affordable alternatives to COBRA coverage.</w:t>
      </w:r>
      <w:r w:rsidRPr="00A92FAB">
        <w:rPr>
          <w:szCs w:val="22"/>
        </w:rPr>
        <w:t xml:space="preserve"> Plan administrators are not required to use the model notice, but properly using it is considered good faith compliance with COBRA’s notice content requirements.</w:t>
      </w:r>
    </w:p>
    <w:p w14:paraId="7711ED85" w14:textId="77777777" w:rsidR="00E32B0F" w:rsidRPr="00E32B0F" w:rsidRDefault="00495870" w:rsidP="00E32B0F">
      <w:pPr>
        <w:pStyle w:val="Heading2"/>
      </w:pPr>
      <w:r w:rsidRPr="00A92FAB">
        <w:t>Notice of Unavailability of COBRA Coverage</w:t>
      </w:r>
    </w:p>
    <w:p w14:paraId="05D1FFA8" w14:textId="77777777" w:rsidR="00E32B0F" w:rsidRPr="00A92FAB" w:rsidRDefault="00495870" w:rsidP="00190ADE">
      <w:pPr>
        <w:pStyle w:val="BodyText"/>
        <w:spacing w:before="120"/>
      </w:pPr>
      <w:r w:rsidRPr="00A92FAB">
        <w:t>Group health plans may sometimes deny a request fo</w:t>
      </w:r>
      <w:r w:rsidRPr="00A92FAB">
        <w:t>r continuation coverage (or for an extension of continuation coverage) when the plan determines the requester is not entitled to receive it. When a group health plan makes the decision to deny a request for continuation coverage (or a request for an extens</w:t>
      </w:r>
      <w:r w:rsidRPr="00A92FAB">
        <w:t xml:space="preserve">ion), the plan must give the individual a notice of unavailability of continuation coverage. The notice must be provided within </w:t>
      </w:r>
      <w:r w:rsidRPr="00A92FAB">
        <w:rPr>
          <w:b/>
        </w:rPr>
        <w:t>14 days</w:t>
      </w:r>
      <w:r w:rsidRPr="00A92FAB">
        <w:t xml:space="preserve"> after the request is received, and the notice must explain the reason for denying the request.</w:t>
      </w:r>
    </w:p>
    <w:p w14:paraId="644978B7" w14:textId="77777777" w:rsidR="00E32B0F" w:rsidRPr="00E32B0F" w:rsidRDefault="00495870" w:rsidP="00E32B0F">
      <w:pPr>
        <w:pStyle w:val="Heading2"/>
      </w:pPr>
      <w:r w:rsidRPr="0082377C">
        <w:lastRenderedPageBreak/>
        <w:t>Notice of Earl</w:t>
      </w:r>
      <w:r>
        <w:t>y Terminati</w:t>
      </w:r>
      <w:r>
        <w:t>on of COBRA Coverage</w:t>
      </w:r>
    </w:p>
    <w:p w14:paraId="71A8F685" w14:textId="77777777" w:rsidR="00E32B0F" w:rsidRPr="00E32B0F" w:rsidRDefault="00495870" w:rsidP="00190ADE">
      <w:pPr>
        <w:pStyle w:val="BodyText"/>
        <w:spacing w:before="120"/>
      </w:pPr>
      <w:r w:rsidRPr="0082377C">
        <w:t>Continuation coverage must generally be made available for a maximum period (for example, 18 or 36 months). The group health plan may terminate continuation coverage early, however, for any of a number of specific reasons. When a group</w:t>
      </w:r>
      <w:r w:rsidRPr="0082377C">
        <w:t xml:space="preserve"> health plan decides to terminate continuation coverage early for any of these reasons, the plan must give the qualified beneficiary a notice of early termination. The notice must be given as soon as practicable after the decision is made, and it must desc</w:t>
      </w:r>
      <w:r w:rsidRPr="0082377C">
        <w:t>ribe the date</w:t>
      </w:r>
      <w:r>
        <w:t xml:space="preserve"> that</w:t>
      </w:r>
      <w:r w:rsidRPr="0082377C">
        <w:t xml:space="preserve"> coverage will terminate, the reason for termination, and any rights the qualified beneficiary may have under the plan or applicable law to elect alternative group or individual coverage.</w:t>
      </w:r>
    </w:p>
    <w:p w14:paraId="7A0637AF" w14:textId="77777777" w:rsidR="00E32B0F" w:rsidRPr="00E32B0F" w:rsidRDefault="00495870" w:rsidP="00E32B0F">
      <w:pPr>
        <w:pStyle w:val="Heading1"/>
      </w:pPr>
      <w:r w:rsidRPr="00BF3A68">
        <w:t>what ar</w:t>
      </w:r>
      <w:r>
        <w:t>e the rules for electing cobra?</w:t>
      </w:r>
    </w:p>
    <w:p w14:paraId="5B934004" w14:textId="77777777" w:rsidR="00E32B0F" w:rsidRPr="00E32B0F" w:rsidRDefault="00495870" w:rsidP="00190ADE">
      <w:pPr>
        <w:pStyle w:val="BodyText"/>
        <w:spacing w:before="120"/>
      </w:pPr>
      <w:r w:rsidRPr="00E32B0F">
        <w:t xml:space="preserve">COBRA </w:t>
      </w:r>
      <w:r w:rsidRPr="00E32B0F">
        <w:t>requires group health plans to give qualified beneficiaries an election period during which they can decide whether to elect continuation coverage. COBRA also gives qualified beneficiaries specific election rights.</w:t>
      </w:r>
    </w:p>
    <w:p w14:paraId="3B0BB4A4" w14:textId="77777777" w:rsidR="00E32B0F" w:rsidRPr="00E32B0F" w:rsidRDefault="00495870" w:rsidP="00E32B0F">
      <w:pPr>
        <w:pStyle w:val="BodyText"/>
      </w:pPr>
      <w:r w:rsidRPr="00E32B0F">
        <w:t xml:space="preserve">At a minimum, each qualified beneficiary </w:t>
      </w:r>
      <w:r w:rsidRPr="00E32B0F">
        <w:t>must be given at least 60 days to choose whether to elect COBRA coverage. This 60-day period is measured from the later of: (1) the date the election notice is provided; or (2) the date on which the qualified beneficiary would otherwise lose coverage under</w:t>
      </w:r>
      <w:r w:rsidRPr="00E32B0F">
        <w:t xml:space="preserve"> the group health plan due to the qualifying event.</w:t>
      </w:r>
    </w:p>
    <w:p w14:paraId="4B1DD397" w14:textId="77777777" w:rsidR="00E32B0F" w:rsidRPr="00E32B0F" w:rsidRDefault="00495870" w:rsidP="00E32B0F">
      <w:pPr>
        <w:pStyle w:val="BodyText"/>
      </w:pPr>
      <w:r w:rsidRPr="00E32B0F">
        <w:t>Each qualified beneficiary must be given an independent right to elect continuation coverage. This means that when several individuals (such as an employee, his or her spouse and their dependent children)</w:t>
      </w:r>
      <w:r w:rsidRPr="00E32B0F">
        <w:t xml:space="preserve"> become qualified beneficiaries due to the same qualifying event, each individual can make a different choice. The plan must allow the covered employee or the covered employee's spouse, however, to elect continuation coverage on behalf of all of the other </w:t>
      </w:r>
      <w:r w:rsidRPr="00E32B0F">
        <w:t>qualified beneficiaries for the same qualifying event. A parent or legal guardian of a qualified beneficiary must also be allowed to elect on behalf of a minor child.</w:t>
      </w:r>
    </w:p>
    <w:p w14:paraId="524B23CB" w14:textId="77777777" w:rsidR="00E32B0F" w:rsidRPr="00E32B0F" w:rsidRDefault="00495870" w:rsidP="00E32B0F">
      <w:pPr>
        <w:pStyle w:val="BodyText"/>
      </w:pPr>
      <w:r w:rsidRPr="00E32B0F">
        <w:t>If a qualified beneficiary waives continuation coverage during the election period, he or</w:t>
      </w:r>
      <w:r w:rsidRPr="00E32B0F">
        <w:t xml:space="preserve"> she must be permitted to later revoke the waiver of coverage and elect continuation coverage, as long as the revocation is done before the end of the election period. If a waiver is later revoked, however, the plan is permitted to make continuation covera</w:t>
      </w:r>
      <w:r w:rsidRPr="00E32B0F">
        <w:t>ge begin on the date the waiver was revoked.</w:t>
      </w:r>
    </w:p>
    <w:sectPr w:rsidR="00E32B0F" w:rsidRPr="00E32B0F" w:rsidSect="007414C5">
      <w:type w:val="continuous"/>
      <w:pgSz w:w="12240" w:h="15840"/>
      <w:pgMar w:top="1627" w:right="144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1FD43" w14:textId="77777777" w:rsidR="00000000" w:rsidRDefault="00495870">
      <w:pPr>
        <w:spacing w:after="0" w:line="240" w:lineRule="auto"/>
      </w:pPr>
      <w:r>
        <w:separator/>
      </w:r>
    </w:p>
  </w:endnote>
  <w:endnote w:type="continuationSeparator" w:id="0">
    <w:p w14:paraId="58896DC2" w14:textId="77777777" w:rsidR="00000000" w:rsidRDefault="00495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24C6F" w14:textId="5E929EDD" w:rsidR="00BA0696" w:rsidRDefault="00495870">
    <w:pPr>
      <w:pStyle w:val="Footer"/>
    </w:pPr>
    <w:r>
      <w:rPr>
        <w:noProof/>
      </w:rPr>
      <mc:AlternateContent>
        <mc:Choice Requires="wps">
          <w:drawing>
            <wp:anchor distT="0" distB="0" distL="114300" distR="114300" simplePos="0" relativeHeight="251658240" behindDoc="0" locked="0" layoutInCell="1" allowOverlap="1" wp14:anchorId="71F291BE" wp14:editId="75627E42">
              <wp:simplePos x="0" y="0"/>
              <wp:positionH relativeFrom="column">
                <wp:posOffset>-86995</wp:posOffset>
              </wp:positionH>
              <wp:positionV relativeFrom="paragraph">
                <wp:posOffset>-360045</wp:posOffset>
              </wp:positionV>
              <wp:extent cx="4387215" cy="556260"/>
              <wp:effectExtent l="0" t="0" r="0" b="0"/>
              <wp:wrapNone/>
              <wp:docPr id="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215"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92E9F3C" w14:textId="77777777" w:rsidR="0084048C" w:rsidRPr="00947E11" w:rsidRDefault="00495870" w:rsidP="0084048C">
                          <w:pPr>
                            <w:pStyle w:val="Disclaimer"/>
                            <w:rPr>
                              <w:szCs w:val="16"/>
                            </w:rPr>
                          </w:pPr>
                          <w:r w:rsidRPr="00947E11">
                            <w:rPr>
                              <w:szCs w:val="16"/>
                            </w:rPr>
                            <w:t xml:space="preserve">This </w:t>
                          </w:r>
                          <w:r w:rsidR="00E00FF6">
                            <w:rPr>
                              <w:szCs w:val="16"/>
                            </w:rPr>
                            <w:t>Compliance</w:t>
                          </w:r>
                          <w:r w:rsidRPr="00947E11">
                            <w:rPr>
                              <w:szCs w:val="16"/>
                            </w:rPr>
                            <w:t xml:space="preserve"> Overview is not intended to be exhaustive nor should any discussion or opinions be construed as legal advice. Readers should contact </w:t>
                          </w:r>
                          <w:r w:rsidR="00991B79">
                            <w:rPr>
                              <w:szCs w:val="16"/>
                            </w:rPr>
                            <w:t>legal counsel for legal advice.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F291BE" id="_x0000_t202" coordsize="21600,21600" o:spt="202" path="m,l,21600r21600,l21600,xe">
              <v:stroke joinstyle="miter"/>
              <v:path gradientshapeok="t" o:connecttype="rect"/>
            </v:shapetype>
            <v:shape id="Text Box 81" o:spid="_x0000_s1030" type="#_x0000_t202" style="position:absolute;margin-left:-6.85pt;margin-top:-28.35pt;width:345.45pt;height:4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" filled="f" stroked="f" strokeweight=".5pt">
              <v:textbox>
                <w:txbxContent>
                  <w:p w14:paraId="592E9F3C" w14:textId="77777777" w:rsidR="0084048C" w:rsidRPr="00947E11" w:rsidRDefault="00495870" w:rsidP="0084048C">
                    <w:pPr>
                      <w:pStyle w:val="Disclaimer"/>
                      <w:rPr>
                        <w:szCs w:val="16"/>
                      </w:rPr>
                    </w:pPr>
                    <w:r w:rsidRPr="00947E11">
                      <w:rPr>
                        <w:szCs w:val="16"/>
                      </w:rPr>
                      <w:t xml:space="preserve">This </w:t>
                    </w:r>
                    <w:r w:rsidR="00E00FF6">
                      <w:rPr>
                        <w:szCs w:val="16"/>
                      </w:rPr>
                      <w:t>Compliance</w:t>
                    </w:r>
                    <w:r w:rsidRPr="00947E11">
                      <w:rPr>
                        <w:szCs w:val="16"/>
                      </w:rPr>
                      <w:t xml:space="preserve"> Overview is not intended to be exhaustive nor should any discussion or opinions be construed as legal advice. Readers should contact </w:t>
                    </w:r>
                    <w:r w:rsidR="00991B79">
                      <w:rPr>
                        <w:szCs w:val="16"/>
                      </w:rPr>
                      <w:t>legal counsel for legal advice.</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1CE95" w14:textId="77777777" w:rsidR="007B4E79" w:rsidRPr="00F72D06" w:rsidRDefault="00495870" w:rsidP="005714F1">
    <w:pPr>
      <w:pStyle w:val="Footer"/>
      <w:spacing w:before="40"/>
      <w:jc w:val="right"/>
    </w:pPr>
    <w:r w:rsidRPr="00F72D06">
      <w:fldChar w:fldCharType="begin"/>
    </w:r>
    <w:r w:rsidRPr="00F72D06">
      <w:instrText xml:space="preserve"> PAGE   \* MERGEFORMAT </w:instrText>
    </w:r>
    <w:r w:rsidRPr="00F72D06">
      <w:fldChar w:fldCharType="separate"/>
    </w:r>
    <w:r w:rsidR="00190ADE">
      <w:rPr>
        <w:noProof/>
      </w:rPr>
      <w:t>4</w:t>
    </w:r>
    <w:r w:rsidRPr="00F72D06">
      <w:rPr>
        <w:noProof/>
      </w:rPr>
      <w:fldChar w:fldCharType="end"/>
    </w:r>
  </w:p>
  <w:p w14:paraId="112EF775" w14:textId="77777777" w:rsidR="007B4E79" w:rsidRPr="00817EEE" w:rsidRDefault="00495870" w:rsidP="00F06BC9">
    <w:pPr>
      <w:pStyle w:val="Disclaimer"/>
    </w:pPr>
    <w:r>
      <w:t>This Compliance</w:t>
    </w:r>
    <w:r w:rsidRPr="00817EEE">
      <w:t xml:space="preserve"> Overview is not intended to be exhaustive nor </w:t>
    </w:r>
    <w:r w:rsidRPr="00F06BC9">
      <w:t>should</w:t>
    </w:r>
    <w:r w:rsidRPr="00817EEE">
      <w:t xml:space="preserve"> any discussion or opinions be construed as legal advice.</w:t>
    </w:r>
    <w:r w:rsidR="00DD1FDA" w:rsidRPr="00817EEE">
      <w:t xml:space="preserve"> </w:t>
    </w:r>
    <w:r w:rsidRPr="00817EEE">
      <w:t>Readers should contact legal counsel for legal advice.</w:t>
    </w:r>
  </w:p>
  <w:p w14:paraId="51D8085D" w14:textId="77777777" w:rsidR="0091138D" w:rsidRPr="00817EEE" w:rsidRDefault="00495870" w:rsidP="00817EEE">
    <w:pPr>
      <w:pStyle w:val="Disclaimer"/>
    </w:pPr>
    <w:r w:rsidRPr="00817EEE">
      <w:t xml:space="preserve">© </w:t>
    </w:r>
    <w:r w:rsidR="00E32B0F">
      <w:t xml:space="preserve">2016, </w:t>
    </w:r>
    <w:r w:rsidRPr="00817EEE">
      <w:t>201</w:t>
    </w:r>
    <w:r w:rsidR="002030C9">
      <w:t>8</w:t>
    </w:r>
    <w:r w:rsidR="003A7025">
      <w:t>-2019</w:t>
    </w:r>
    <w:r w:rsidRPr="00817EEE">
      <w:t> </w:t>
    </w:r>
    <w:r w:rsidR="007B4E79" w:rsidRPr="00F06BC9">
      <w:t>Zywave</w:t>
    </w:r>
    <w:r w:rsidR="007B4E79" w:rsidRPr="00817EEE">
      <w:t>, Inc. All rights reserved.</w:t>
    </w:r>
    <w:r w:rsidR="00E32B0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8F6F5" w14:textId="77777777" w:rsidR="00000000" w:rsidRDefault="00495870">
      <w:pPr>
        <w:spacing w:after="0" w:line="240" w:lineRule="auto"/>
      </w:pPr>
      <w:r>
        <w:separator/>
      </w:r>
    </w:p>
  </w:footnote>
  <w:footnote w:type="continuationSeparator" w:id="0">
    <w:p w14:paraId="0636C002" w14:textId="77777777" w:rsidR="00000000" w:rsidRDefault="00495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DBE66" w14:textId="2C5B41C7" w:rsidR="00777DD9" w:rsidRDefault="00495870">
    <w:pPr>
      <w:pStyle w:val="Header"/>
    </w:pPr>
    <w:r>
      <w:rPr>
        <w:noProof/>
      </w:rPr>
      <mc:AlternateContent>
        <mc:Choice Requires="wps">
          <w:drawing>
            <wp:anchor distT="0" distB="0" distL="114300" distR="114300" simplePos="0" relativeHeight="251659264" behindDoc="0" locked="0" layoutInCell="1" allowOverlap="1" wp14:anchorId="7A62D58B" wp14:editId="7A9B2159">
              <wp:simplePos x="0" y="0"/>
              <wp:positionH relativeFrom="column">
                <wp:posOffset>4386580</wp:posOffset>
              </wp:positionH>
              <wp:positionV relativeFrom="paragraph">
                <wp:posOffset>2667000</wp:posOffset>
              </wp:positionV>
              <wp:extent cx="0" cy="5715000"/>
              <wp:effectExtent l="14605" t="9525" r="13970" b="9525"/>
              <wp:wrapNone/>
              <wp:docPr id="2"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0"/>
                      </a:xfrm>
                      <a:prstGeom prst="line">
                        <a:avLst/>
                      </a:prstGeom>
                      <a:noFill/>
                      <a:ln w="19050" cap="rnd">
                        <a:solidFill>
                          <a:srgbClr val="4884A2"/>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EE14720" id="Straight Connector 12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4pt,210pt" to="345.4pt,6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" strokecolor="#4884a2" strokeweight="1.5pt">
              <v:stroke dashstyle="1 1" joinstyle="miter" endcap="round"/>
            </v:line>
          </w:pict>
        </mc:Fallback>
      </mc:AlternateContent>
    </w:r>
    <w:r>
      <w:rPr>
        <w:noProof/>
      </w:rPr>
      <w:drawing>
        <wp:anchor distT="0" distB="0" distL="114300" distR="114300" simplePos="0" relativeHeight="251660288" behindDoc="1" locked="0" layoutInCell="1" allowOverlap="1" wp14:anchorId="3CA71C39" wp14:editId="1C6AB789">
          <wp:simplePos x="0" y="0"/>
          <wp:positionH relativeFrom="margin">
            <wp:posOffset>-457200</wp:posOffset>
          </wp:positionH>
          <wp:positionV relativeFrom="margin">
            <wp:posOffset>-2792095</wp:posOffset>
          </wp:positionV>
          <wp:extent cx="7772400" cy="2886075"/>
          <wp:effectExtent l="0" t="0" r="0" b="0"/>
          <wp:wrapNone/>
          <wp:docPr id="102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28860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59191" w14:textId="4C84E2F4" w:rsidR="00D16053" w:rsidRDefault="00495870">
    <w:pPr>
      <w:pStyle w:val="Header"/>
      <w:rPr>
        <w:noProof/>
      </w:rPr>
    </w:pPr>
    <w:r>
      <w:rPr>
        <w:noProof/>
      </w:rPr>
      <w:drawing>
        <wp:anchor distT="0" distB="0" distL="114300" distR="114300" simplePos="0" relativeHeight="251661312" behindDoc="1" locked="0" layoutInCell="1" allowOverlap="1" wp14:anchorId="01CE1A77" wp14:editId="3C881B1C">
          <wp:simplePos x="0" y="0"/>
          <wp:positionH relativeFrom="margin">
            <wp:posOffset>-914400</wp:posOffset>
          </wp:positionH>
          <wp:positionV relativeFrom="margin">
            <wp:posOffset>-1023620</wp:posOffset>
          </wp:positionV>
          <wp:extent cx="7772400" cy="871220"/>
          <wp:effectExtent l="0" t="0" r="0" b="0"/>
          <wp:wrapNone/>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871220"/>
                  </a:xfrm>
                  <a:prstGeom prst="rect">
                    <a:avLst/>
                  </a:prstGeom>
                  <a:noFill/>
                </pic:spPr>
              </pic:pic>
            </a:graphicData>
          </a:graphic>
          <wp14:sizeRelH relativeFrom="page">
            <wp14:pctWidth>0</wp14:pctWidth>
          </wp14:sizeRelH>
          <wp14:sizeRelV relativeFrom="page">
            <wp14:pctHeight>0</wp14:pctHeight>
          </wp14:sizeRelV>
        </wp:anchor>
      </w:drawing>
    </w:r>
  </w:p>
  <w:p w14:paraId="393E4902" w14:textId="77777777" w:rsidR="00D16053" w:rsidRDefault="00D16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F6488"/>
    <w:multiLevelType w:val="hybridMultilevel"/>
    <w:tmpl w:val="4A98104E"/>
    <w:lvl w:ilvl="0" w:tplc="F73407B6">
      <w:start w:val="1"/>
      <w:numFmt w:val="bullet"/>
      <w:pStyle w:val="T-BulletList"/>
      <w:lvlText w:val=""/>
      <w:lvlJc w:val="left"/>
      <w:pPr>
        <w:ind w:left="288" w:hanging="216"/>
      </w:pPr>
      <w:rPr>
        <w:rFonts w:ascii="Symbol" w:hAnsi="Symbol" w:hint="default"/>
        <w:sz w:val="20"/>
        <w:szCs w:val="20"/>
      </w:rPr>
    </w:lvl>
    <w:lvl w:ilvl="1" w:tplc="25C8C28E">
      <w:start w:val="1"/>
      <w:numFmt w:val="bullet"/>
      <w:lvlText w:val="o"/>
      <w:lvlJc w:val="left"/>
      <w:pPr>
        <w:ind w:left="576" w:hanging="216"/>
      </w:pPr>
      <w:rPr>
        <w:rFonts w:ascii="Courier New" w:hAnsi="Courier New" w:hint="default"/>
      </w:rPr>
    </w:lvl>
    <w:lvl w:ilvl="2" w:tplc="7CE49F6C">
      <w:start w:val="1"/>
      <w:numFmt w:val="bullet"/>
      <w:lvlText w:val=""/>
      <w:lvlJc w:val="left"/>
      <w:pPr>
        <w:ind w:left="1008" w:hanging="288"/>
      </w:pPr>
      <w:rPr>
        <w:rFonts w:ascii="Wingdings" w:hAnsi="Wingdings" w:hint="default"/>
      </w:rPr>
    </w:lvl>
    <w:lvl w:ilvl="3" w:tplc="7592EFCC" w:tentative="1">
      <w:start w:val="1"/>
      <w:numFmt w:val="bullet"/>
      <w:lvlText w:val=""/>
      <w:lvlJc w:val="left"/>
      <w:pPr>
        <w:ind w:left="2880" w:hanging="360"/>
      </w:pPr>
      <w:rPr>
        <w:rFonts w:ascii="Symbol" w:hAnsi="Symbol" w:hint="default"/>
      </w:rPr>
    </w:lvl>
    <w:lvl w:ilvl="4" w:tplc="E42E5C6E" w:tentative="1">
      <w:start w:val="1"/>
      <w:numFmt w:val="bullet"/>
      <w:lvlText w:val="o"/>
      <w:lvlJc w:val="left"/>
      <w:pPr>
        <w:ind w:left="3600" w:hanging="360"/>
      </w:pPr>
      <w:rPr>
        <w:rFonts w:ascii="Courier New" w:hAnsi="Courier New" w:cs="Courier New" w:hint="default"/>
      </w:rPr>
    </w:lvl>
    <w:lvl w:ilvl="5" w:tplc="4C2A614E" w:tentative="1">
      <w:start w:val="1"/>
      <w:numFmt w:val="bullet"/>
      <w:lvlText w:val=""/>
      <w:lvlJc w:val="left"/>
      <w:pPr>
        <w:ind w:left="4320" w:hanging="360"/>
      </w:pPr>
      <w:rPr>
        <w:rFonts w:ascii="Wingdings" w:hAnsi="Wingdings" w:hint="default"/>
      </w:rPr>
    </w:lvl>
    <w:lvl w:ilvl="6" w:tplc="824070BC" w:tentative="1">
      <w:start w:val="1"/>
      <w:numFmt w:val="bullet"/>
      <w:lvlText w:val=""/>
      <w:lvlJc w:val="left"/>
      <w:pPr>
        <w:ind w:left="5040" w:hanging="360"/>
      </w:pPr>
      <w:rPr>
        <w:rFonts w:ascii="Symbol" w:hAnsi="Symbol" w:hint="default"/>
      </w:rPr>
    </w:lvl>
    <w:lvl w:ilvl="7" w:tplc="3D983E82" w:tentative="1">
      <w:start w:val="1"/>
      <w:numFmt w:val="bullet"/>
      <w:lvlText w:val="o"/>
      <w:lvlJc w:val="left"/>
      <w:pPr>
        <w:ind w:left="5760" w:hanging="360"/>
      </w:pPr>
      <w:rPr>
        <w:rFonts w:ascii="Courier New" w:hAnsi="Courier New" w:cs="Courier New" w:hint="default"/>
      </w:rPr>
    </w:lvl>
    <w:lvl w:ilvl="8" w:tplc="73FABC2E" w:tentative="1">
      <w:start w:val="1"/>
      <w:numFmt w:val="bullet"/>
      <w:lvlText w:val=""/>
      <w:lvlJc w:val="left"/>
      <w:pPr>
        <w:ind w:left="6480" w:hanging="360"/>
      </w:pPr>
      <w:rPr>
        <w:rFonts w:ascii="Wingdings" w:hAnsi="Wingdings" w:hint="default"/>
      </w:rPr>
    </w:lvl>
  </w:abstractNum>
  <w:abstractNum w:abstractNumId="1" w15:restartNumberingAfterBreak="0">
    <w:nsid w:val="1E5964DF"/>
    <w:multiLevelType w:val="hybridMultilevel"/>
    <w:tmpl w:val="0C36DB28"/>
    <w:lvl w:ilvl="0" w:tplc="B17678FE">
      <w:start w:val="1"/>
      <w:numFmt w:val="bullet"/>
      <w:lvlText w:val=""/>
      <w:lvlJc w:val="left"/>
      <w:pPr>
        <w:ind w:left="720" w:hanging="360"/>
      </w:pPr>
      <w:rPr>
        <w:rFonts w:ascii="Wingdings" w:hAnsi="Wingdings" w:hint="default"/>
        <w:b/>
        <w:i w:val="0"/>
        <w:color w:val="C45911"/>
        <w:sz w:val="36"/>
      </w:rPr>
    </w:lvl>
    <w:lvl w:ilvl="1" w:tplc="19902326" w:tentative="1">
      <w:start w:val="1"/>
      <w:numFmt w:val="bullet"/>
      <w:lvlText w:val="o"/>
      <w:lvlJc w:val="left"/>
      <w:pPr>
        <w:ind w:left="1440" w:hanging="360"/>
      </w:pPr>
      <w:rPr>
        <w:rFonts w:ascii="Courier New" w:hAnsi="Courier New" w:cs="Courier New" w:hint="default"/>
      </w:rPr>
    </w:lvl>
    <w:lvl w:ilvl="2" w:tplc="D47E8780" w:tentative="1">
      <w:start w:val="1"/>
      <w:numFmt w:val="bullet"/>
      <w:lvlText w:val=""/>
      <w:lvlJc w:val="left"/>
      <w:pPr>
        <w:ind w:left="2160" w:hanging="360"/>
      </w:pPr>
      <w:rPr>
        <w:rFonts w:ascii="Wingdings" w:hAnsi="Wingdings" w:hint="default"/>
      </w:rPr>
    </w:lvl>
    <w:lvl w:ilvl="3" w:tplc="C3344E92" w:tentative="1">
      <w:start w:val="1"/>
      <w:numFmt w:val="bullet"/>
      <w:lvlText w:val=""/>
      <w:lvlJc w:val="left"/>
      <w:pPr>
        <w:ind w:left="2880" w:hanging="360"/>
      </w:pPr>
      <w:rPr>
        <w:rFonts w:ascii="Symbol" w:hAnsi="Symbol" w:hint="default"/>
      </w:rPr>
    </w:lvl>
    <w:lvl w:ilvl="4" w:tplc="85A6A336" w:tentative="1">
      <w:start w:val="1"/>
      <w:numFmt w:val="bullet"/>
      <w:lvlText w:val="o"/>
      <w:lvlJc w:val="left"/>
      <w:pPr>
        <w:ind w:left="3600" w:hanging="360"/>
      </w:pPr>
      <w:rPr>
        <w:rFonts w:ascii="Courier New" w:hAnsi="Courier New" w:cs="Courier New" w:hint="default"/>
      </w:rPr>
    </w:lvl>
    <w:lvl w:ilvl="5" w:tplc="C3A2B9DA" w:tentative="1">
      <w:start w:val="1"/>
      <w:numFmt w:val="bullet"/>
      <w:lvlText w:val=""/>
      <w:lvlJc w:val="left"/>
      <w:pPr>
        <w:ind w:left="4320" w:hanging="360"/>
      </w:pPr>
      <w:rPr>
        <w:rFonts w:ascii="Wingdings" w:hAnsi="Wingdings" w:hint="default"/>
      </w:rPr>
    </w:lvl>
    <w:lvl w:ilvl="6" w:tplc="935CB494" w:tentative="1">
      <w:start w:val="1"/>
      <w:numFmt w:val="bullet"/>
      <w:lvlText w:val=""/>
      <w:lvlJc w:val="left"/>
      <w:pPr>
        <w:ind w:left="5040" w:hanging="360"/>
      </w:pPr>
      <w:rPr>
        <w:rFonts w:ascii="Symbol" w:hAnsi="Symbol" w:hint="default"/>
      </w:rPr>
    </w:lvl>
    <w:lvl w:ilvl="7" w:tplc="4472271E" w:tentative="1">
      <w:start w:val="1"/>
      <w:numFmt w:val="bullet"/>
      <w:lvlText w:val="o"/>
      <w:lvlJc w:val="left"/>
      <w:pPr>
        <w:ind w:left="5760" w:hanging="360"/>
      </w:pPr>
      <w:rPr>
        <w:rFonts w:ascii="Courier New" w:hAnsi="Courier New" w:cs="Courier New" w:hint="default"/>
      </w:rPr>
    </w:lvl>
    <w:lvl w:ilvl="8" w:tplc="F33A79BC" w:tentative="1">
      <w:start w:val="1"/>
      <w:numFmt w:val="bullet"/>
      <w:lvlText w:val=""/>
      <w:lvlJc w:val="left"/>
      <w:pPr>
        <w:ind w:left="6480" w:hanging="360"/>
      </w:pPr>
      <w:rPr>
        <w:rFonts w:ascii="Wingdings" w:hAnsi="Wingdings" w:hint="default"/>
      </w:rPr>
    </w:lvl>
  </w:abstractNum>
  <w:abstractNum w:abstractNumId="2" w15:restartNumberingAfterBreak="0">
    <w:nsid w:val="271166A4"/>
    <w:multiLevelType w:val="hybridMultilevel"/>
    <w:tmpl w:val="35D20024"/>
    <w:lvl w:ilvl="0" w:tplc="A89A8C6A">
      <w:start w:val="1"/>
      <w:numFmt w:val="bullet"/>
      <w:lvlText w:val=""/>
      <w:lvlJc w:val="left"/>
      <w:pPr>
        <w:ind w:left="288" w:hanging="288"/>
      </w:pPr>
      <w:rPr>
        <w:rFonts w:ascii="Symbol" w:hAnsi="Symbol" w:hint="default"/>
      </w:rPr>
    </w:lvl>
    <w:lvl w:ilvl="1" w:tplc="61FA3F94">
      <w:start w:val="1"/>
      <w:numFmt w:val="bullet"/>
      <w:lvlText w:val="o"/>
      <w:lvlJc w:val="left"/>
      <w:pPr>
        <w:ind w:left="576" w:hanging="216"/>
      </w:pPr>
      <w:rPr>
        <w:rFonts w:ascii="Courier New" w:hAnsi="Courier New" w:hint="default"/>
      </w:rPr>
    </w:lvl>
    <w:lvl w:ilvl="2" w:tplc="6B8071B6">
      <w:start w:val="1"/>
      <w:numFmt w:val="bullet"/>
      <w:lvlText w:val=""/>
      <w:lvlJc w:val="left"/>
      <w:pPr>
        <w:ind w:left="864" w:hanging="216"/>
      </w:pPr>
      <w:rPr>
        <w:rFonts w:ascii="Wingdings" w:hAnsi="Wingdings" w:hint="default"/>
      </w:rPr>
    </w:lvl>
    <w:lvl w:ilvl="3" w:tplc="E02C8AB6" w:tentative="1">
      <w:start w:val="1"/>
      <w:numFmt w:val="bullet"/>
      <w:lvlText w:val=""/>
      <w:lvlJc w:val="left"/>
      <w:pPr>
        <w:ind w:left="2880" w:hanging="360"/>
      </w:pPr>
      <w:rPr>
        <w:rFonts w:ascii="Symbol" w:hAnsi="Symbol" w:hint="default"/>
      </w:rPr>
    </w:lvl>
    <w:lvl w:ilvl="4" w:tplc="D4042A12" w:tentative="1">
      <w:start w:val="1"/>
      <w:numFmt w:val="bullet"/>
      <w:lvlText w:val="o"/>
      <w:lvlJc w:val="left"/>
      <w:pPr>
        <w:ind w:left="3600" w:hanging="360"/>
      </w:pPr>
      <w:rPr>
        <w:rFonts w:ascii="Courier New" w:hAnsi="Courier New" w:cs="Courier New" w:hint="default"/>
      </w:rPr>
    </w:lvl>
    <w:lvl w:ilvl="5" w:tplc="4E2678BC" w:tentative="1">
      <w:start w:val="1"/>
      <w:numFmt w:val="bullet"/>
      <w:lvlText w:val=""/>
      <w:lvlJc w:val="left"/>
      <w:pPr>
        <w:ind w:left="4320" w:hanging="360"/>
      </w:pPr>
      <w:rPr>
        <w:rFonts w:ascii="Wingdings" w:hAnsi="Wingdings" w:hint="default"/>
      </w:rPr>
    </w:lvl>
    <w:lvl w:ilvl="6" w:tplc="651673C6" w:tentative="1">
      <w:start w:val="1"/>
      <w:numFmt w:val="bullet"/>
      <w:lvlText w:val=""/>
      <w:lvlJc w:val="left"/>
      <w:pPr>
        <w:ind w:left="5040" w:hanging="360"/>
      </w:pPr>
      <w:rPr>
        <w:rFonts w:ascii="Symbol" w:hAnsi="Symbol" w:hint="default"/>
      </w:rPr>
    </w:lvl>
    <w:lvl w:ilvl="7" w:tplc="CCC2D16C" w:tentative="1">
      <w:start w:val="1"/>
      <w:numFmt w:val="bullet"/>
      <w:lvlText w:val="o"/>
      <w:lvlJc w:val="left"/>
      <w:pPr>
        <w:ind w:left="5760" w:hanging="360"/>
      </w:pPr>
      <w:rPr>
        <w:rFonts w:ascii="Courier New" w:hAnsi="Courier New" w:cs="Courier New" w:hint="default"/>
      </w:rPr>
    </w:lvl>
    <w:lvl w:ilvl="8" w:tplc="C0A05EB2" w:tentative="1">
      <w:start w:val="1"/>
      <w:numFmt w:val="bullet"/>
      <w:lvlText w:val=""/>
      <w:lvlJc w:val="left"/>
      <w:pPr>
        <w:ind w:left="6480" w:hanging="360"/>
      </w:pPr>
      <w:rPr>
        <w:rFonts w:ascii="Wingdings" w:hAnsi="Wingdings" w:hint="default"/>
      </w:rPr>
    </w:lvl>
  </w:abstractNum>
  <w:abstractNum w:abstractNumId="3" w15:restartNumberingAfterBreak="0">
    <w:nsid w:val="2AE5615E"/>
    <w:multiLevelType w:val="hybridMultilevel"/>
    <w:tmpl w:val="9E36E3C2"/>
    <w:lvl w:ilvl="0" w:tplc="6E120538">
      <w:start w:val="1"/>
      <w:numFmt w:val="bullet"/>
      <w:pStyle w:val="H-Bulletlist"/>
      <w:lvlText w:val=""/>
      <w:lvlJc w:val="left"/>
      <w:pPr>
        <w:ind w:left="720" w:hanging="360"/>
      </w:pPr>
      <w:rPr>
        <w:rFonts w:ascii="Symbol" w:hAnsi="Symbol" w:hint="default"/>
      </w:rPr>
    </w:lvl>
    <w:lvl w:ilvl="1" w:tplc="8C121B3E" w:tentative="1">
      <w:start w:val="1"/>
      <w:numFmt w:val="bullet"/>
      <w:lvlText w:val="o"/>
      <w:lvlJc w:val="left"/>
      <w:pPr>
        <w:ind w:left="1440" w:hanging="360"/>
      </w:pPr>
      <w:rPr>
        <w:rFonts w:ascii="Courier New" w:hAnsi="Courier New" w:cs="Courier New" w:hint="default"/>
      </w:rPr>
    </w:lvl>
    <w:lvl w:ilvl="2" w:tplc="8BB63060" w:tentative="1">
      <w:start w:val="1"/>
      <w:numFmt w:val="bullet"/>
      <w:lvlText w:val=""/>
      <w:lvlJc w:val="left"/>
      <w:pPr>
        <w:ind w:left="2160" w:hanging="360"/>
      </w:pPr>
      <w:rPr>
        <w:rFonts w:ascii="Wingdings" w:hAnsi="Wingdings" w:hint="default"/>
      </w:rPr>
    </w:lvl>
    <w:lvl w:ilvl="3" w:tplc="5888DE38" w:tentative="1">
      <w:start w:val="1"/>
      <w:numFmt w:val="bullet"/>
      <w:lvlText w:val=""/>
      <w:lvlJc w:val="left"/>
      <w:pPr>
        <w:ind w:left="2880" w:hanging="360"/>
      </w:pPr>
      <w:rPr>
        <w:rFonts w:ascii="Symbol" w:hAnsi="Symbol" w:hint="default"/>
      </w:rPr>
    </w:lvl>
    <w:lvl w:ilvl="4" w:tplc="8F9A8DEE" w:tentative="1">
      <w:start w:val="1"/>
      <w:numFmt w:val="bullet"/>
      <w:lvlText w:val="o"/>
      <w:lvlJc w:val="left"/>
      <w:pPr>
        <w:ind w:left="3600" w:hanging="360"/>
      </w:pPr>
      <w:rPr>
        <w:rFonts w:ascii="Courier New" w:hAnsi="Courier New" w:cs="Courier New" w:hint="default"/>
      </w:rPr>
    </w:lvl>
    <w:lvl w:ilvl="5" w:tplc="53CA0804" w:tentative="1">
      <w:start w:val="1"/>
      <w:numFmt w:val="bullet"/>
      <w:lvlText w:val=""/>
      <w:lvlJc w:val="left"/>
      <w:pPr>
        <w:ind w:left="4320" w:hanging="360"/>
      </w:pPr>
      <w:rPr>
        <w:rFonts w:ascii="Wingdings" w:hAnsi="Wingdings" w:hint="default"/>
      </w:rPr>
    </w:lvl>
    <w:lvl w:ilvl="6" w:tplc="D33AD772" w:tentative="1">
      <w:start w:val="1"/>
      <w:numFmt w:val="bullet"/>
      <w:lvlText w:val=""/>
      <w:lvlJc w:val="left"/>
      <w:pPr>
        <w:ind w:left="5040" w:hanging="360"/>
      </w:pPr>
      <w:rPr>
        <w:rFonts w:ascii="Symbol" w:hAnsi="Symbol" w:hint="default"/>
      </w:rPr>
    </w:lvl>
    <w:lvl w:ilvl="7" w:tplc="BBFA01FA" w:tentative="1">
      <w:start w:val="1"/>
      <w:numFmt w:val="bullet"/>
      <w:lvlText w:val="o"/>
      <w:lvlJc w:val="left"/>
      <w:pPr>
        <w:ind w:left="5760" w:hanging="360"/>
      </w:pPr>
      <w:rPr>
        <w:rFonts w:ascii="Courier New" w:hAnsi="Courier New" w:cs="Courier New" w:hint="default"/>
      </w:rPr>
    </w:lvl>
    <w:lvl w:ilvl="8" w:tplc="0C2C47A6" w:tentative="1">
      <w:start w:val="1"/>
      <w:numFmt w:val="bullet"/>
      <w:lvlText w:val=""/>
      <w:lvlJc w:val="left"/>
      <w:pPr>
        <w:ind w:left="6480" w:hanging="360"/>
      </w:pPr>
      <w:rPr>
        <w:rFonts w:ascii="Wingdings" w:hAnsi="Wingdings" w:hint="default"/>
      </w:rPr>
    </w:lvl>
  </w:abstractNum>
  <w:abstractNum w:abstractNumId="4" w15:restartNumberingAfterBreak="0">
    <w:nsid w:val="370A2C70"/>
    <w:multiLevelType w:val="hybridMultilevel"/>
    <w:tmpl w:val="CB1A4564"/>
    <w:lvl w:ilvl="0" w:tplc="82C8B4AE">
      <w:start w:val="1"/>
      <w:numFmt w:val="bullet"/>
      <w:pStyle w:val="BulletList"/>
      <w:lvlText w:val=""/>
      <w:lvlJc w:val="left"/>
      <w:pPr>
        <w:ind w:left="576" w:hanging="216"/>
      </w:pPr>
      <w:rPr>
        <w:rFonts w:ascii="Symbol" w:hAnsi="Symbol" w:hint="default"/>
      </w:rPr>
    </w:lvl>
    <w:lvl w:ilvl="1" w:tplc="23164B94">
      <w:start w:val="1"/>
      <w:numFmt w:val="bullet"/>
      <w:lvlText w:val="o"/>
      <w:lvlJc w:val="left"/>
      <w:pPr>
        <w:ind w:left="936" w:hanging="216"/>
      </w:pPr>
      <w:rPr>
        <w:rFonts w:ascii="Courier New" w:hAnsi="Courier New" w:hint="default"/>
      </w:rPr>
    </w:lvl>
    <w:lvl w:ilvl="2" w:tplc="EB2CA290">
      <w:start w:val="1"/>
      <w:numFmt w:val="bullet"/>
      <w:lvlText w:val=""/>
      <w:lvlJc w:val="left"/>
      <w:pPr>
        <w:ind w:left="1296" w:hanging="216"/>
      </w:pPr>
      <w:rPr>
        <w:rFonts w:ascii="Wingdings" w:hAnsi="Wingdings" w:hint="default"/>
      </w:rPr>
    </w:lvl>
    <w:lvl w:ilvl="3" w:tplc="DE98175E" w:tentative="1">
      <w:start w:val="1"/>
      <w:numFmt w:val="bullet"/>
      <w:lvlText w:val=""/>
      <w:lvlJc w:val="left"/>
      <w:pPr>
        <w:ind w:left="2880" w:hanging="360"/>
      </w:pPr>
      <w:rPr>
        <w:rFonts w:ascii="Symbol" w:hAnsi="Symbol" w:hint="default"/>
      </w:rPr>
    </w:lvl>
    <w:lvl w:ilvl="4" w:tplc="F5205370" w:tentative="1">
      <w:start w:val="1"/>
      <w:numFmt w:val="bullet"/>
      <w:lvlText w:val="o"/>
      <w:lvlJc w:val="left"/>
      <w:pPr>
        <w:ind w:left="3600" w:hanging="360"/>
      </w:pPr>
      <w:rPr>
        <w:rFonts w:ascii="Courier New" w:hAnsi="Courier New" w:cs="Courier New" w:hint="default"/>
      </w:rPr>
    </w:lvl>
    <w:lvl w:ilvl="5" w:tplc="78526E22" w:tentative="1">
      <w:start w:val="1"/>
      <w:numFmt w:val="bullet"/>
      <w:lvlText w:val=""/>
      <w:lvlJc w:val="left"/>
      <w:pPr>
        <w:ind w:left="4320" w:hanging="360"/>
      </w:pPr>
      <w:rPr>
        <w:rFonts w:ascii="Wingdings" w:hAnsi="Wingdings" w:hint="default"/>
      </w:rPr>
    </w:lvl>
    <w:lvl w:ilvl="6" w:tplc="7E9E0308" w:tentative="1">
      <w:start w:val="1"/>
      <w:numFmt w:val="bullet"/>
      <w:lvlText w:val=""/>
      <w:lvlJc w:val="left"/>
      <w:pPr>
        <w:ind w:left="5040" w:hanging="360"/>
      </w:pPr>
      <w:rPr>
        <w:rFonts w:ascii="Symbol" w:hAnsi="Symbol" w:hint="default"/>
      </w:rPr>
    </w:lvl>
    <w:lvl w:ilvl="7" w:tplc="BE6CC5A8" w:tentative="1">
      <w:start w:val="1"/>
      <w:numFmt w:val="bullet"/>
      <w:lvlText w:val="o"/>
      <w:lvlJc w:val="left"/>
      <w:pPr>
        <w:ind w:left="5760" w:hanging="360"/>
      </w:pPr>
      <w:rPr>
        <w:rFonts w:ascii="Courier New" w:hAnsi="Courier New" w:cs="Courier New" w:hint="default"/>
      </w:rPr>
    </w:lvl>
    <w:lvl w:ilvl="8" w:tplc="6F360312" w:tentative="1">
      <w:start w:val="1"/>
      <w:numFmt w:val="bullet"/>
      <w:lvlText w:val=""/>
      <w:lvlJc w:val="left"/>
      <w:pPr>
        <w:ind w:left="6480" w:hanging="360"/>
      </w:pPr>
      <w:rPr>
        <w:rFonts w:ascii="Wingdings" w:hAnsi="Wingdings" w:hint="default"/>
      </w:rPr>
    </w:lvl>
  </w:abstractNum>
  <w:abstractNum w:abstractNumId="5" w15:restartNumberingAfterBreak="0">
    <w:nsid w:val="54B5585E"/>
    <w:multiLevelType w:val="hybridMultilevel"/>
    <w:tmpl w:val="AA261B18"/>
    <w:lvl w:ilvl="0" w:tplc="61DE04EC">
      <w:start w:val="1"/>
      <w:numFmt w:val="bullet"/>
      <w:lvlText w:val=""/>
      <w:lvlJc w:val="left"/>
      <w:pPr>
        <w:ind w:left="720" w:hanging="360"/>
      </w:pPr>
      <w:rPr>
        <w:rFonts w:ascii="Wingdings" w:hAnsi="Wingdings" w:hint="default"/>
        <w:b/>
        <w:i w:val="0"/>
        <w:color w:val="C45911"/>
        <w:sz w:val="36"/>
      </w:rPr>
    </w:lvl>
    <w:lvl w:ilvl="1" w:tplc="4DEE022C" w:tentative="1">
      <w:start w:val="1"/>
      <w:numFmt w:val="bullet"/>
      <w:lvlText w:val="o"/>
      <w:lvlJc w:val="left"/>
      <w:pPr>
        <w:ind w:left="1440" w:hanging="360"/>
      </w:pPr>
      <w:rPr>
        <w:rFonts w:ascii="Courier New" w:hAnsi="Courier New" w:cs="Courier New" w:hint="default"/>
      </w:rPr>
    </w:lvl>
    <w:lvl w:ilvl="2" w:tplc="8D662A0A" w:tentative="1">
      <w:start w:val="1"/>
      <w:numFmt w:val="bullet"/>
      <w:lvlText w:val=""/>
      <w:lvlJc w:val="left"/>
      <w:pPr>
        <w:ind w:left="2160" w:hanging="360"/>
      </w:pPr>
      <w:rPr>
        <w:rFonts w:ascii="Wingdings" w:hAnsi="Wingdings" w:hint="default"/>
      </w:rPr>
    </w:lvl>
    <w:lvl w:ilvl="3" w:tplc="31341D18" w:tentative="1">
      <w:start w:val="1"/>
      <w:numFmt w:val="bullet"/>
      <w:lvlText w:val=""/>
      <w:lvlJc w:val="left"/>
      <w:pPr>
        <w:ind w:left="2880" w:hanging="360"/>
      </w:pPr>
      <w:rPr>
        <w:rFonts w:ascii="Symbol" w:hAnsi="Symbol" w:hint="default"/>
      </w:rPr>
    </w:lvl>
    <w:lvl w:ilvl="4" w:tplc="776A92DC" w:tentative="1">
      <w:start w:val="1"/>
      <w:numFmt w:val="bullet"/>
      <w:lvlText w:val="o"/>
      <w:lvlJc w:val="left"/>
      <w:pPr>
        <w:ind w:left="3600" w:hanging="360"/>
      </w:pPr>
      <w:rPr>
        <w:rFonts w:ascii="Courier New" w:hAnsi="Courier New" w:cs="Courier New" w:hint="default"/>
      </w:rPr>
    </w:lvl>
    <w:lvl w:ilvl="5" w:tplc="85E29190" w:tentative="1">
      <w:start w:val="1"/>
      <w:numFmt w:val="bullet"/>
      <w:lvlText w:val=""/>
      <w:lvlJc w:val="left"/>
      <w:pPr>
        <w:ind w:left="4320" w:hanging="360"/>
      </w:pPr>
      <w:rPr>
        <w:rFonts w:ascii="Wingdings" w:hAnsi="Wingdings" w:hint="default"/>
      </w:rPr>
    </w:lvl>
    <w:lvl w:ilvl="6" w:tplc="B8482AE4" w:tentative="1">
      <w:start w:val="1"/>
      <w:numFmt w:val="bullet"/>
      <w:lvlText w:val=""/>
      <w:lvlJc w:val="left"/>
      <w:pPr>
        <w:ind w:left="5040" w:hanging="360"/>
      </w:pPr>
      <w:rPr>
        <w:rFonts w:ascii="Symbol" w:hAnsi="Symbol" w:hint="default"/>
      </w:rPr>
    </w:lvl>
    <w:lvl w:ilvl="7" w:tplc="F49CC4B2" w:tentative="1">
      <w:start w:val="1"/>
      <w:numFmt w:val="bullet"/>
      <w:lvlText w:val="o"/>
      <w:lvlJc w:val="left"/>
      <w:pPr>
        <w:ind w:left="5760" w:hanging="360"/>
      </w:pPr>
      <w:rPr>
        <w:rFonts w:ascii="Courier New" w:hAnsi="Courier New" w:cs="Courier New" w:hint="default"/>
      </w:rPr>
    </w:lvl>
    <w:lvl w:ilvl="8" w:tplc="750E3B48" w:tentative="1">
      <w:start w:val="1"/>
      <w:numFmt w:val="bullet"/>
      <w:lvlText w:val=""/>
      <w:lvlJc w:val="left"/>
      <w:pPr>
        <w:ind w:left="6480" w:hanging="360"/>
      </w:pPr>
      <w:rPr>
        <w:rFonts w:ascii="Wingdings" w:hAnsi="Wingdings" w:hint="default"/>
      </w:rPr>
    </w:lvl>
  </w:abstractNum>
  <w:abstractNum w:abstractNumId="6" w15:restartNumberingAfterBreak="0">
    <w:nsid w:val="60480197"/>
    <w:multiLevelType w:val="hybridMultilevel"/>
    <w:tmpl w:val="43160A2C"/>
    <w:lvl w:ilvl="0" w:tplc="FA844C06">
      <w:start w:val="1"/>
      <w:numFmt w:val="bullet"/>
      <w:lvlText w:val=""/>
      <w:lvlJc w:val="left"/>
      <w:pPr>
        <w:ind w:left="1440" w:hanging="360"/>
      </w:pPr>
      <w:rPr>
        <w:rFonts w:ascii="Wingdings" w:hAnsi="Wingdings" w:hint="default"/>
        <w:b/>
        <w:i w:val="0"/>
        <w:color w:val="C45911"/>
        <w:sz w:val="36"/>
      </w:rPr>
    </w:lvl>
    <w:lvl w:ilvl="1" w:tplc="E21E2B56" w:tentative="1">
      <w:start w:val="1"/>
      <w:numFmt w:val="bullet"/>
      <w:lvlText w:val="o"/>
      <w:lvlJc w:val="left"/>
      <w:pPr>
        <w:ind w:left="2160" w:hanging="360"/>
      </w:pPr>
      <w:rPr>
        <w:rFonts w:ascii="Courier New" w:hAnsi="Courier New" w:cs="Courier New" w:hint="default"/>
      </w:rPr>
    </w:lvl>
    <w:lvl w:ilvl="2" w:tplc="D1B6E630" w:tentative="1">
      <w:start w:val="1"/>
      <w:numFmt w:val="bullet"/>
      <w:lvlText w:val=""/>
      <w:lvlJc w:val="left"/>
      <w:pPr>
        <w:ind w:left="2880" w:hanging="360"/>
      </w:pPr>
      <w:rPr>
        <w:rFonts w:ascii="Wingdings" w:hAnsi="Wingdings" w:hint="default"/>
      </w:rPr>
    </w:lvl>
    <w:lvl w:ilvl="3" w:tplc="68364698" w:tentative="1">
      <w:start w:val="1"/>
      <w:numFmt w:val="bullet"/>
      <w:lvlText w:val=""/>
      <w:lvlJc w:val="left"/>
      <w:pPr>
        <w:ind w:left="3600" w:hanging="360"/>
      </w:pPr>
      <w:rPr>
        <w:rFonts w:ascii="Symbol" w:hAnsi="Symbol" w:hint="default"/>
      </w:rPr>
    </w:lvl>
    <w:lvl w:ilvl="4" w:tplc="C00ACC72" w:tentative="1">
      <w:start w:val="1"/>
      <w:numFmt w:val="bullet"/>
      <w:lvlText w:val="o"/>
      <w:lvlJc w:val="left"/>
      <w:pPr>
        <w:ind w:left="4320" w:hanging="360"/>
      </w:pPr>
      <w:rPr>
        <w:rFonts w:ascii="Courier New" w:hAnsi="Courier New" w:cs="Courier New" w:hint="default"/>
      </w:rPr>
    </w:lvl>
    <w:lvl w:ilvl="5" w:tplc="A8428872" w:tentative="1">
      <w:start w:val="1"/>
      <w:numFmt w:val="bullet"/>
      <w:lvlText w:val=""/>
      <w:lvlJc w:val="left"/>
      <w:pPr>
        <w:ind w:left="5040" w:hanging="360"/>
      </w:pPr>
      <w:rPr>
        <w:rFonts w:ascii="Wingdings" w:hAnsi="Wingdings" w:hint="default"/>
      </w:rPr>
    </w:lvl>
    <w:lvl w:ilvl="6" w:tplc="E272DF86" w:tentative="1">
      <w:start w:val="1"/>
      <w:numFmt w:val="bullet"/>
      <w:lvlText w:val=""/>
      <w:lvlJc w:val="left"/>
      <w:pPr>
        <w:ind w:left="5760" w:hanging="360"/>
      </w:pPr>
      <w:rPr>
        <w:rFonts w:ascii="Symbol" w:hAnsi="Symbol" w:hint="default"/>
      </w:rPr>
    </w:lvl>
    <w:lvl w:ilvl="7" w:tplc="A9048FFC" w:tentative="1">
      <w:start w:val="1"/>
      <w:numFmt w:val="bullet"/>
      <w:lvlText w:val="o"/>
      <w:lvlJc w:val="left"/>
      <w:pPr>
        <w:ind w:left="6480" w:hanging="360"/>
      </w:pPr>
      <w:rPr>
        <w:rFonts w:ascii="Courier New" w:hAnsi="Courier New" w:cs="Courier New" w:hint="default"/>
      </w:rPr>
    </w:lvl>
    <w:lvl w:ilvl="8" w:tplc="56C058C0" w:tentative="1">
      <w:start w:val="1"/>
      <w:numFmt w:val="bullet"/>
      <w:lvlText w:val=""/>
      <w:lvlJc w:val="left"/>
      <w:pPr>
        <w:ind w:left="7200" w:hanging="360"/>
      </w:pPr>
      <w:rPr>
        <w:rFonts w:ascii="Wingdings" w:hAnsi="Wingdings" w:hint="default"/>
      </w:rPr>
    </w:lvl>
  </w:abstractNum>
  <w:abstractNum w:abstractNumId="7" w15:restartNumberingAfterBreak="0">
    <w:nsid w:val="6F346A19"/>
    <w:multiLevelType w:val="hybridMultilevel"/>
    <w:tmpl w:val="A2763910"/>
    <w:lvl w:ilvl="0" w:tplc="229073F0">
      <w:start w:val="1"/>
      <w:numFmt w:val="bullet"/>
      <w:pStyle w:val="H-BulletList0"/>
      <w:lvlText w:val=""/>
      <w:lvlJc w:val="left"/>
      <w:pPr>
        <w:ind w:left="288" w:hanging="216"/>
      </w:pPr>
      <w:rPr>
        <w:rFonts w:ascii="Symbol" w:hAnsi="Symbol" w:hint="default"/>
        <w:sz w:val="20"/>
        <w:szCs w:val="20"/>
      </w:rPr>
    </w:lvl>
    <w:lvl w:ilvl="1" w:tplc="2A5087AA">
      <w:start w:val="1"/>
      <w:numFmt w:val="bullet"/>
      <w:lvlText w:val="o"/>
      <w:lvlJc w:val="left"/>
      <w:pPr>
        <w:ind w:left="504" w:hanging="144"/>
      </w:pPr>
      <w:rPr>
        <w:rFonts w:ascii="Courier New" w:hAnsi="Courier New" w:hint="default"/>
      </w:rPr>
    </w:lvl>
    <w:lvl w:ilvl="2" w:tplc="1FAA27A8">
      <w:start w:val="1"/>
      <w:numFmt w:val="bullet"/>
      <w:lvlText w:val=""/>
      <w:lvlJc w:val="left"/>
      <w:pPr>
        <w:ind w:left="1008" w:hanging="288"/>
      </w:pPr>
      <w:rPr>
        <w:rFonts w:ascii="Wingdings" w:hAnsi="Wingdings" w:hint="default"/>
      </w:rPr>
    </w:lvl>
    <w:lvl w:ilvl="3" w:tplc="DD56ECCA" w:tentative="1">
      <w:start w:val="1"/>
      <w:numFmt w:val="bullet"/>
      <w:lvlText w:val=""/>
      <w:lvlJc w:val="left"/>
      <w:pPr>
        <w:ind w:left="2880" w:hanging="360"/>
      </w:pPr>
      <w:rPr>
        <w:rFonts w:ascii="Symbol" w:hAnsi="Symbol" w:hint="default"/>
      </w:rPr>
    </w:lvl>
    <w:lvl w:ilvl="4" w:tplc="96107006" w:tentative="1">
      <w:start w:val="1"/>
      <w:numFmt w:val="bullet"/>
      <w:lvlText w:val="o"/>
      <w:lvlJc w:val="left"/>
      <w:pPr>
        <w:ind w:left="3600" w:hanging="360"/>
      </w:pPr>
      <w:rPr>
        <w:rFonts w:ascii="Courier New" w:hAnsi="Courier New" w:cs="Courier New" w:hint="default"/>
      </w:rPr>
    </w:lvl>
    <w:lvl w:ilvl="5" w:tplc="2E3AC2B0" w:tentative="1">
      <w:start w:val="1"/>
      <w:numFmt w:val="bullet"/>
      <w:lvlText w:val=""/>
      <w:lvlJc w:val="left"/>
      <w:pPr>
        <w:ind w:left="4320" w:hanging="360"/>
      </w:pPr>
      <w:rPr>
        <w:rFonts w:ascii="Wingdings" w:hAnsi="Wingdings" w:hint="default"/>
      </w:rPr>
    </w:lvl>
    <w:lvl w:ilvl="6" w:tplc="8A0EDBB4" w:tentative="1">
      <w:start w:val="1"/>
      <w:numFmt w:val="bullet"/>
      <w:lvlText w:val=""/>
      <w:lvlJc w:val="left"/>
      <w:pPr>
        <w:ind w:left="5040" w:hanging="360"/>
      </w:pPr>
      <w:rPr>
        <w:rFonts w:ascii="Symbol" w:hAnsi="Symbol" w:hint="default"/>
      </w:rPr>
    </w:lvl>
    <w:lvl w:ilvl="7" w:tplc="0AF80F6A" w:tentative="1">
      <w:start w:val="1"/>
      <w:numFmt w:val="bullet"/>
      <w:lvlText w:val="o"/>
      <w:lvlJc w:val="left"/>
      <w:pPr>
        <w:ind w:left="5760" w:hanging="360"/>
      </w:pPr>
      <w:rPr>
        <w:rFonts w:ascii="Courier New" w:hAnsi="Courier New" w:cs="Courier New" w:hint="default"/>
      </w:rPr>
    </w:lvl>
    <w:lvl w:ilvl="8" w:tplc="BF3A9C12" w:tentative="1">
      <w:start w:val="1"/>
      <w:numFmt w:val="bullet"/>
      <w:lvlText w:val=""/>
      <w:lvlJc w:val="left"/>
      <w:pPr>
        <w:ind w:left="6480" w:hanging="360"/>
      </w:pPr>
      <w:rPr>
        <w:rFonts w:ascii="Wingdings" w:hAnsi="Wingdings" w:hint="default"/>
      </w:rPr>
    </w:lvl>
  </w:abstractNum>
  <w:abstractNum w:abstractNumId="8" w15:restartNumberingAfterBreak="0">
    <w:nsid w:val="70D86126"/>
    <w:multiLevelType w:val="hybridMultilevel"/>
    <w:tmpl w:val="792E3A1A"/>
    <w:lvl w:ilvl="0" w:tplc="24FAE47C">
      <w:start w:val="1"/>
      <w:numFmt w:val="decimal"/>
      <w:pStyle w:val="Numbering"/>
      <w:lvlText w:val="%1."/>
      <w:lvlJc w:val="left"/>
      <w:pPr>
        <w:ind w:left="576" w:hanging="216"/>
      </w:pPr>
      <w:rPr>
        <w:rFonts w:hint="default"/>
      </w:rPr>
    </w:lvl>
    <w:lvl w:ilvl="1" w:tplc="17F68E42">
      <w:start w:val="1"/>
      <w:numFmt w:val="lowerLetter"/>
      <w:lvlText w:val="%2."/>
      <w:lvlJc w:val="left"/>
      <w:pPr>
        <w:ind w:left="936" w:hanging="216"/>
      </w:pPr>
      <w:rPr>
        <w:rFonts w:hint="default"/>
      </w:rPr>
    </w:lvl>
    <w:lvl w:ilvl="2" w:tplc="FB56D5DE">
      <w:start w:val="1"/>
      <w:numFmt w:val="lowerRoman"/>
      <w:lvlText w:val="%3."/>
      <w:lvlJc w:val="right"/>
      <w:pPr>
        <w:ind w:left="1296" w:hanging="216"/>
      </w:pPr>
      <w:rPr>
        <w:rFonts w:hint="default"/>
      </w:rPr>
    </w:lvl>
    <w:lvl w:ilvl="3" w:tplc="51FCCA3C" w:tentative="1">
      <w:start w:val="1"/>
      <w:numFmt w:val="decimal"/>
      <w:lvlText w:val="%4."/>
      <w:lvlJc w:val="left"/>
      <w:pPr>
        <w:ind w:left="2880" w:hanging="360"/>
      </w:pPr>
    </w:lvl>
    <w:lvl w:ilvl="4" w:tplc="020CEFAC" w:tentative="1">
      <w:start w:val="1"/>
      <w:numFmt w:val="lowerLetter"/>
      <w:lvlText w:val="%5."/>
      <w:lvlJc w:val="left"/>
      <w:pPr>
        <w:ind w:left="3600" w:hanging="360"/>
      </w:pPr>
    </w:lvl>
    <w:lvl w:ilvl="5" w:tplc="6002ACD4" w:tentative="1">
      <w:start w:val="1"/>
      <w:numFmt w:val="lowerRoman"/>
      <w:lvlText w:val="%6."/>
      <w:lvlJc w:val="right"/>
      <w:pPr>
        <w:ind w:left="4320" w:hanging="180"/>
      </w:pPr>
    </w:lvl>
    <w:lvl w:ilvl="6" w:tplc="E01E9184" w:tentative="1">
      <w:start w:val="1"/>
      <w:numFmt w:val="decimal"/>
      <w:lvlText w:val="%7."/>
      <w:lvlJc w:val="left"/>
      <w:pPr>
        <w:ind w:left="5040" w:hanging="360"/>
      </w:pPr>
    </w:lvl>
    <w:lvl w:ilvl="7" w:tplc="FC586E6E" w:tentative="1">
      <w:start w:val="1"/>
      <w:numFmt w:val="lowerLetter"/>
      <w:lvlText w:val="%8."/>
      <w:lvlJc w:val="left"/>
      <w:pPr>
        <w:ind w:left="5760" w:hanging="360"/>
      </w:pPr>
    </w:lvl>
    <w:lvl w:ilvl="8" w:tplc="FB382752" w:tentative="1">
      <w:start w:val="1"/>
      <w:numFmt w:val="lowerRoman"/>
      <w:lvlText w:val="%9."/>
      <w:lvlJc w:val="right"/>
      <w:pPr>
        <w:ind w:left="6480" w:hanging="180"/>
      </w:pPr>
    </w:lvl>
  </w:abstractNum>
  <w:abstractNum w:abstractNumId="9" w15:restartNumberingAfterBreak="0">
    <w:nsid w:val="730B4ECD"/>
    <w:multiLevelType w:val="hybridMultilevel"/>
    <w:tmpl w:val="6C406044"/>
    <w:lvl w:ilvl="0" w:tplc="785E23AC">
      <w:start w:val="1"/>
      <w:numFmt w:val="bullet"/>
      <w:pStyle w:val="BulletlistHighlight"/>
      <w:lvlText w:val=""/>
      <w:lvlJc w:val="left"/>
      <w:pPr>
        <w:ind w:left="288" w:hanging="288"/>
      </w:pPr>
      <w:rPr>
        <w:rFonts w:ascii="Symbol" w:hAnsi="Symbol" w:hint="default"/>
      </w:rPr>
    </w:lvl>
    <w:lvl w:ilvl="1" w:tplc="011ABAD4">
      <w:start w:val="1"/>
      <w:numFmt w:val="bullet"/>
      <w:lvlText w:val="o"/>
      <w:lvlJc w:val="left"/>
      <w:pPr>
        <w:ind w:left="576" w:hanging="216"/>
      </w:pPr>
      <w:rPr>
        <w:rFonts w:ascii="Courier New" w:hAnsi="Courier New" w:hint="default"/>
      </w:rPr>
    </w:lvl>
    <w:lvl w:ilvl="2" w:tplc="03BCC434">
      <w:start w:val="1"/>
      <w:numFmt w:val="bullet"/>
      <w:lvlText w:val=""/>
      <w:lvlJc w:val="left"/>
      <w:pPr>
        <w:ind w:left="864" w:hanging="216"/>
      </w:pPr>
      <w:rPr>
        <w:rFonts w:ascii="Wingdings" w:hAnsi="Wingdings" w:hint="default"/>
      </w:rPr>
    </w:lvl>
    <w:lvl w:ilvl="3" w:tplc="B67AFFC0" w:tentative="1">
      <w:start w:val="1"/>
      <w:numFmt w:val="bullet"/>
      <w:lvlText w:val=""/>
      <w:lvlJc w:val="left"/>
      <w:pPr>
        <w:ind w:left="2880" w:hanging="360"/>
      </w:pPr>
      <w:rPr>
        <w:rFonts w:ascii="Symbol" w:hAnsi="Symbol" w:hint="default"/>
      </w:rPr>
    </w:lvl>
    <w:lvl w:ilvl="4" w:tplc="0DDAA898" w:tentative="1">
      <w:start w:val="1"/>
      <w:numFmt w:val="bullet"/>
      <w:lvlText w:val="o"/>
      <w:lvlJc w:val="left"/>
      <w:pPr>
        <w:ind w:left="3600" w:hanging="360"/>
      </w:pPr>
      <w:rPr>
        <w:rFonts w:ascii="Courier New" w:hAnsi="Courier New" w:cs="Courier New" w:hint="default"/>
      </w:rPr>
    </w:lvl>
    <w:lvl w:ilvl="5" w:tplc="46883194" w:tentative="1">
      <w:start w:val="1"/>
      <w:numFmt w:val="bullet"/>
      <w:lvlText w:val=""/>
      <w:lvlJc w:val="left"/>
      <w:pPr>
        <w:ind w:left="4320" w:hanging="360"/>
      </w:pPr>
      <w:rPr>
        <w:rFonts w:ascii="Wingdings" w:hAnsi="Wingdings" w:hint="default"/>
      </w:rPr>
    </w:lvl>
    <w:lvl w:ilvl="6" w:tplc="4CC202F2" w:tentative="1">
      <w:start w:val="1"/>
      <w:numFmt w:val="bullet"/>
      <w:lvlText w:val=""/>
      <w:lvlJc w:val="left"/>
      <w:pPr>
        <w:ind w:left="5040" w:hanging="360"/>
      </w:pPr>
      <w:rPr>
        <w:rFonts w:ascii="Symbol" w:hAnsi="Symbol" w:hint="default"/>
      </w:rPr>
    </w:lvl>
    <w:lvl w:ilvl="7" w:tplc="5A7A9470" w:tentative="1">
      <w:start w:val="1"/>
      <w:numFmt w:val="bullet"/>
      <w:lvlText w:val="o"/>
      <w:lvlJc w:val="left"/>
      <w:pPr>
        <w:ind w:left="5760" w:hanging="360"/>
      </w:pPr>
      <w:rPr>
        <w:rFonts w:ascii="Courier New" w:hAnsi="Courier New" w:cs="Courier New" w:hint="default"/>
      </w:rPr>
    </w:lvl>
    <w:lvl w:ilvl="8" w:tplc="2F308FCE" w:tentative="1">
      <w:start w:val="1"/>
      <w:numFmt w:val="bullet"/>
      <w:lvlText w:val=""/>
      <w:lvlJc w:val="left"/>
      <w:pPr>
        <w:ind w:left="6480" w:hanging="360"/>
      </w:pPr>
      <w:rPr>
        <w:rFonts w:ascii="Wingdings" w:hAnsi="Wingdings" w:hint="default"/>
      </w:rPr>
    </w:lvl>
  </w:abstractNum>
  <w:abstractNum w:abstractNumId="10" w15:restartNumberingAfterBreak="0">
    <w:nsid w:val="74912014"/>
    <w:multiLevelType w:val="hybridMultilevel"/>
    <w:tmpl w:val="96747874"/>
    <w:lvl w:ilvl="0" w:tplc="38347E44">
      <w:start w:val="1"/>
      <w:numFmt w:val="bullet"/>
      <w:pStyle w:val="Bullets"/>
      <w:lvlText w:val=""/>
      <w:lvlJc w:val="left"/>
      <w:pPr>
        <w:ind w:left="720" w:hanging="360"/>
      </w:pPr>
      <w:rPr>
        <w:rFonts w:ascii="Symbol" w:hAnsi="Symbol" w:hint="default"/>
        <w:b/>
        <w:color w:val="595959"/>
      </w:rPr>
    </w:lvl>
    <w:lvl w:ilvl="1" w:tplc="9B50F766" w:tentative="1">
      <w:start w:val="1"/>
      <w:numFmt w:val="bullet"/>
      <w:lvlText w:val="o"/>
      <w:lvlJc w:val="left"/>
      <w:pPr>
        <w:ind w:left="1440" w:hanging="360"/>
      </w:pPr>
      <w:rPr>
        <w:rFonts w:ascii="Courier New" w:hAnsi="Courier New" w:cs="Courier New" w:hint="default"/>
      </w:rPr>
    </w:lvl>
    <w:lvl w:ilvl="2" w:tplc="888ABA9C" w:tentative="1">
      <w:start w:val="1"/>
      <w:numFmt w:val="bullet"/>
      <w:lvlText w:val=""/>
      <w:lvlJc w:val="left"/>
      <w:pPr>
        <w:ind w:left="2160" w:hanging="360"/>
      </w:pPr>
      <w:rPr>
        <w:rFonts w:ascii="Wingdings" w:hAnsi="Wingdings" w:hint="default"/>
      </w:rPr>
    </w:lvl>
    <w:lvl w:ilvl="3" w:tplc="864C9FB6" w:tentative="1">
      <w:start w:val="1"/>
      <w:numFmt w:val="bullet"/>
      <w:lvlText w:val=""/>
      <w:lvlJc w:val="left"/>
      <w:pPr>
        <w:ind w:left="2880" w:hanging="360"/>
      </w:pPr>
      <w:rPr>
        <w:rFonts w:ascii="Symbol" w:hAnsi="Symbol" w:hint="default"/>
      </w:rPr>
    </w:lvl>
    <w:lvl w:ilvl="4" w:tplc="81D411E6" w:tentative="1">
      <w:start w:val="1"/>
      <w:numFmt w:val="bullet"/>
      <w:lvlText w:val="o"/>
      <w:lvlJc w:val="left"/>
      <w:pPr>
        <w:ind w:left="3600" w:hanging="360"/>
      </w:pPr>
      <w:rPr>
        <w:rFonts w:ascii="Courier New" w:hAnsi="Courier New" w:cs="Courier New" w:hint="default"/>
      </w:rPr>
    </w:lvl>
    <w:lvl w:ilvl="5" w:tplc="F5A68DDE" w:tentative="1">
      <w:start w:val="1"/>
      <w:numFmt w:val="bullet"/>
      <w:lvlText w:val=""/>
      <w:lvlJc w:val="left"/>
      <w:pPr>
        <w:ind w:left="4320" w:hanging="360"/>
      </w:pPr>
      <w:rPr>
        <w:rFonts w:ascii="Wingdings" w:hAnsi="Wingdings" w:hint="default"/>
      </w:rPr>
    </w:lvl>
    <w:lvl w:ilvl="6" w:tplc="1458F0E4" w:tentative="1">
      <w:start w:val="1"/>
      <w:numFmt w:val="bullet"/>
      <w:lvlText w:val=""/>
      <w:lvlJc w:val="left"/>
      <w:pPr>
        <w:ind w:left="5040" w:hanging="360"/>
      </w:pPr>
      <w:rPr>
        <w:rFonts w:ascii="Symbol" w:hAnsi="Symbol" w:hint="default"/>
      </w:rPr>
    </w:lvl>
    <w:lvl w:ilvl="7" w:tplc="E2848B80" w:tentative="1">
      <w:start w:val="1"/>
      <w:numFmt w:val="bullet"/>
      <w:lvlText w:val="o"/>
      <w:lvlJc w:val="left"/>
      <w:pPr>
        <w:ind w:left="5760" w:hanging="360"/>
      </w:pPr>
      <w:rPr>
        <w:rFonts w:ascii="Courier New" w:hAnsi="Courier New" w:cs="Courier New" w:hint="default"/>
      </w:rPr>
    </w:lvl>
    <w:lvl w:ilvl="8" w:tplc="529C8D82"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7"/>
    <w:lvlOverride w:ilvl="0">
      <w:startOverride w:val="1"/>
    </w:lvlOverride>
  </w:num>
  <w:num w:numId="5">
    <w:abstractNumId w:val="7"/>
    <w:lvlOverride w:ilvl="0">
      <w:startOverride w:val="1"/>
    </w:lvlOverride>
  </w:num>
  <w:num w:numId="6">
    <w:abstractNumId w:val="9"/>
    <w:lvlOverride w:ilvl="0">
      <w:startOverride w:val="1"/>
    </w:lvlOverride>
  </w:num>
  <w:num w:numId="7">
    <w:abstractNumId w:val="9"/>
    <w:lvlOverride w:ilvl="0">
      <w:startOverride w:val="1"/>
    </w:lvlOverride>
  </w:num>
  <w:num w:numId="8">
    <w:abstractNumId w:val="2"/>
  </w:num>
  <w:num w:numId="9">
    <w:abstractNumId w:val="4"/>
    <w:lvlOverride w:ilvl="0">
      <w:startOverride w:val="1"/>
    </w:lvlOverride>
  </w:num>
  <w:num w:numId="10">
    <w:abstractNumId w:val="8"/>
  </w:num>
  <w:num w:numId="11">
    <w:abstractNumId w:val="0"/>
  </w:num>
  <w:num w:numId="12">
    <w:abstractNumId w:val="3"/>
  </w:num>
  <w:num w:numId="13">
    <w:abstractNumId w:val="10"/>
  </w:num>
  <w:num w:numId="14">
    <w:abstractNumId w:val="6"/>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3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19E"/>
    <w:rsid w:val="000106B8"/>
    <w:rsid w:val="000272AF"/>
    <w:rsid w:val="00053327"/>
    <w:rsid w:val="000D733F"/>
    <w:rsid w:val="0017685B"/>
    <w:rsid w:val="00177E2A"/>
    <w:rsid w:val="00190ADE"/>
    <w:rsid w:val="001968D1"/>
    <w:rsid w:val="001F76A9"/>
    <w:rsid w:val="002030C9"/>
    <w:rsid w:val="00215794"/>
    <w:rsid w:val="002364F9"/>
    <w:rsid w:val="002632CA"/>
    <w:rsid w:val="00281307"/>
    <w:rsid w:val="00281D65"/>
    <w:rsid w:val="002A188C"/>
    <w:rsid w:val="0033142C"/>
    <w:rsid w:val="0034322C"/>
    <w:rsid w:val="00344843"/>
    <w:rsid w:val="003774F7"/>
    <w:rsid w:val="003A7025"/>
    <w:rsid w:val="0042553F"/>
    <w:rsid w:val="00432124"/>
    <w:rsid w:val="0045015D"/>
    <w:rsid w:val="00451D29"/>
    <w:rsid w:val="00460470"/>
    <w:rsid w:val="00461814"/>
    <w:rsid w:val="00462EE5"/>
    <w:rsid w:val="00495870"/>
    <w:rsid w:val="004A352F"/>
    <w:rsid w:val="004D0A73"/>
    <w:rsid w:val="004D217B"/>
    <w:rsid w:val="005227C2"/>
    <w:rsid w:val="0053544A"/>
    <w:rsid w:val="005714F1"/>
    <w:rsid w:val="005E1623"/>
    <w:rsid w:val="00640D15"/>
    <w:rsid w:val="00660351"/>
    <w:rsid w:val="006A21D0"/>
    <w:rsid w:val="006B416A"/>
    <w:rsid w:val="00706FA1"/>
    <w:rsid w:val="00707AB0"/>
    <w:rsid w:val="007201D3"/>
    <w:rsid w:val="00723FED"/>
    <w:rsid w:val="007414C5"/>
    <w:rsid w:val="0074191F"/>
    <w:rsid w:val="0074776E"/>
    <w:rsid w:val="00777803"/>
    <w:rsid w:val="00777DD9"/>
    <w:rsid w:val="007B119E"/>
    <w:rsid w:val="007B4E79"/>
    <w:rsid w:val="007D056B"/>
    <w:rsid w:val="00803ECD"/>
    <w:rsid w:val="00817EEE"/>
    <w:rsid w:val="0082377C"/>
    <w:rsid w:val="0082527D"/>
    <w:rsid w:val="0084048C"/>
    <w:rsid w:val="00862B8A"/>
    <w:rsid w:val="0091138D"/>
    <w:rsid w:val="009454CF"/>
    <w:rsid w:val="00947E11"/>
    <w:rsid w:val="00963261"/>
    <w:rsid w:val="0098778C"/>
    <w:rsid w:val="00991B79"/>
    <w:rsid w:val="009C43ED"/>
    <w:rsid w:val="00A16F4F"/>
    <w:rsid w:val="00A22068"/>
    <w:rsid w:val="00A76D7E"/>
    <w:rsid w:val="00A82008"/>
    <w:rsid w:val="00A92FAB"/>
    <w:rsid w:val="00A93330"/>
    <w:rsid w:val="00AD4B14"/>
    <w:rsid w:val="00B35F77"/>
    <w:rsid w:val="00BA0696"/>
    <w:rsid w:val="00BB3D80"/>
    <w:rsid w:val="00BD64CC"/>
    <w:rsid w:val="00BE5FAA"/>
    <w:rsid w:val="00BF3A68"/>
    <w:rsid w:val="00C14A92"/>
    <w:rsid w:val="00C45377"/>
    <w:rsid w:val="00C83CAB"/>
    <w:rsid w:val="00D046E7"/>
    <w:rsid w:val="00D16053"/>
    <w:rsid w:val="00D56AE4"/>
    <w:rsid w:val="00D8497C"/>
    <w:rsid w:val="00DB07D8"/>
    <w:rsid w:val="00DC20C0"/>
    <w:rsid w:val="00DD1FDA"/>
    <w:rsid w:val="00DE66D7"/>
    <w:rsid w:val="00E00FF6"/>
    <w:rsid w:val="00E13430"/>
    <w:rsid w:val="00E15691"/>
    <w:rsid w:val="00E32B0F"/>
    <w:rsid w:val="00E444AA"/>
    <w:rsid w:val="00F0224A"/>
    <w:rsid w:val="00F06BC9"/>
    <w:rsid w:val="00F51B8C"/>
    <w:rsid w:val="00F72D06"/>
    <w:rsid w:val="00F85F4A"/>
    <w:rsid w:val="00F9723B"/>
    <w:rsid w:val="00FF203F"/>
    <w:rsid w:val="00FF5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81"/>
    <o:shapelayout v:ext="edit">
      <o:idmap v:ext="edit" data="3"/>
    </o:shapelayout>
  </w:shapeDefaults>
  <w:decimalSymbol w:val="."/>
  <w:listSeparator w:val=","/>
  <w14:docId w14:val="14AB9D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A352F"/>
    <w:pPr>
      <w:spacing w:after="160" w:line="259" w:lineRule="auto"/>
    </w:pPr>
    <w:rPr>
      <w:color w:val="595959"/>
      <w:szCs w:val="22"/>
    </w:rPr>
  </w:style>
  <w:style w:type="paragraph" w:styleId="Heading1">
    <w:name w:val="heading 1"/>
    <w:basedOn w:val="BodyText2"/>
    <w:next w:val="Normal"/>
    <w:link w:val="Heading1Char"/>
    <w:uiPriority w:val="9"/>
    <w:qFormat/>
    <w:rsid w:val="00E00FF6"/>
    <w:pPr>
      <w:spacing w:after="120"/>
      <w:ind w:left="0" w:right="0"/>
      <w:outlineLvl w:val="0"/>
    </w:pPr>
    <w:rPr>
      <w:color w:val="4884A2"/>
      <w:sz w:val="24"/>
    </w:rPr>
  </w:style>
  <w:style w:type="paragraph" w:styleId="Heading2">
    <w:name w:val="heading 2"/>
    <w:basedOn w:val="Normal"/>
    <w:next w:val="Normal"/>
    <w:link w:val="Heading2Char"/>
    <w:uiPriority w:val="9"/>
    <w:unhideWhenUsed/>
    <w:qFormat/>
    <w:rsid w:val="00F06BC9"/>
    <w:pPr>
      <w:spacing w:before="240" w:after="120"/>
      <w:outlineLvl w:val="1"/>
    </w:pPr>
    <w:rPr>
      <w:b/>
      <w:i/>
      <w:sz w:val="24"/>
    </w:rPr>
  </w:style>
  <w:style w:type="paragraph" w:styleId="Heading3">
    <w:name w:val="heading 3"/>
    <w:basedOn w:val="Normal"/>
    <w:next w:val="Normal"/>
    <w:link w:val="Heading3Char"/>
    <w:uiPriority w:val="9"/>
    <w:unhideWhenUsed/>
    <w:qFormat/>
    <w:rsid w:val="00F06BC9"/>
    <w:pPr>
      <w:spacing w:before="240" w:after="120"/>
      <w:outlineLvl w:val="2"/>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00FF6"/>
    <w:rPr>
      <w:rFonts w:eastAsia="Times New Roman"/>
      <w:b/>
      <w:caps/>
      <w:color w:val="4884A2"/>
      <w:sz w:val="24"/>
    </w:rPr>
  </w:style>
  <w:style w:type="character" w:customStyle="1" w:styleId="Heading2Char">
    <w:name w:val="Heading 2 Char"/>
    <w:link w:val="Heading2"/>
    <w:uiPriority w:val="9"/>
    <w:rsid w:val="00F06BC9"/>
    <w:rPr>
      <w:b/>
      <w:i/>
      <w:color w:val="595959"/>
      <w:sz w:val="24"/>
      <w:szCs w:val="22"/>
    </w:rPr>
  </w:style>
  <w:style w:type="character" w:styleId="Strong">
    <w:name w:val="Strong"/>
    <w:aliases w:val="Subheading"/>
    <w:rsid w:val="000D733F"/>
    <w:rPr>
      <w:color w:val="BC5D58"/>
    </w:rPr>
  </w:style>
  <w:style w:type="paragraph" w:styleId="BodyText2">
    <w:name w:val="Body Text 2"/>
    <w:aliases w:val="Subtitle 1"/>
    <w:basedOn w:val="Normal"/>
    <w:next w:val="BodyText"/>
    <w:link w:val="BodyText2Char"/>
    <w:rsid w:val="00777DD9"/>
    <w:pPr>
      <w:spacing w:before="240" w:after="80" w:line="240" w:lineRule="auto"/>
      <w:ind w:left="-540" w:right="2880"/>
    </w:pPr>
    <w:rPr>
      <w:rFonts w:eastAsia="Times New Roman"/>
      <w:b/>
      <w:caps/>
      <w:color w:val="C93535"/>
      <w:szCs w:val="20"/>
    </w:rPr>
  </w:style>
  <w:style w:type="character" w:customStyle="1" w:styleId="BodyText2Char">
    <w:name w:val="Body Text 2 Char"/>
    <w:aliases w:val="Subtitle 1 Char"/>
    <w:link w:val="BodyText2"/>
    <w:rsid w:val="00777DD9"/>
    <w:rPr>
      <w:rFonts w:ascii="Calibri" w:eastAsia="Times New Roman" w:hAnsi="Calibri" w:cs="Times New Roman"/>
      <w:b/>
      <w:caps/>
      <w:color w:val="C93535"/>
      <w:szCs w:val="20"/>
    </w:rPr>
  </w:style>
  <w:style w:type="paragraph" w:styleId="BodyText">
    <w:name w:val="Body Text"/>
    <w:basedOn w:val="BodyText2"/>
    <w:link w:val="BodyTextChar"/>
    <w:qFormat/>
    <w:rsid w:val="007201D3"/>
    <w:pPr>
      <w:spacing w:after="120" w:line="259" w:lineRule="auto"/>
      <w:ind w:left="0" w:right="0"/>
      <w:jc w:val="both"/>
    </w:pPr>
    <w:rPr>
      <w:rFonts w:cs="Arial"/>
      <w:b w:val="0"/>
      <w:caps w:val="0"/>
      <w:color w:val="595959"/>
      <w:sz w:val="22"/>
    </w:rPr>
  </w:style>
  <w:style w:type="character" w:customStyle="1" w:styleId="BodyTextChar">
    <w:name w:val="Body Text Char"/>
    <w:link w:val="BodyText"/>
    <w:rsid w:val="007201D3"/>
    <w:rPr>
      <w:rFonts w:eastAsia="Times New Roman" w:cs="Arial"/>
      <w:color w:val="595959"/>
      <w:sz w:val="22"/>
    </w:rPr>
  </w:style>
  <w:style w:type="paragraph" w:customStyle="1" w:styleId="H-Heading">
    <w:name w:val="H-Heading"/>
    <w:basedOn w:val="Normal"/>
    <w:link w:val="H-HeadingChar"/>
    <w:qFormat/>
    <w:rsid w:val="00E00FF6"/>
    <w:pPr>
      <w:pBdr>
        <w:bottom w:val="single" w:sz="8" w:space="1" w:color="4884A2"/>
      </w:pBdr>
      <w:spacing w:before="240" w:after="120"/>
    </w:pPr>
    <w:rPr>
      <w:b/>
      <w:caps/>
      <w:color w:val="E5874D"/>
      <w:sz w:val="24"/>
    </w:rPr>
  </w:style>
  <w:style w:type="character" w:customStyle="1" w:styleId="H-HeadingChar">
    <w:name w:val="H-Heading Char"/>
    <w:link w:val="H-Heading"/>
    <w:rsid w:val="00E00FF6"/>
    <w:rPr>
      <w:b/>
      <w:caps/>
      <w:color w:val="E5874D"/>
      <w:sz w:val="24"/>
      <w:szCs w:val="22"/>
    </w:rPr>
  </w:style>
  <w:style w:type="paragraph" w:styleId="Title">
    <w:name w:val="Title"/>
    <w:basedOn w:val="Normal"/>
    <w:next w:val="Normal"/>
    <w:link w:val="TitleChar"/>
    <w:uiPriority w:val="10"/>
    <w:qFormat/>
    <w:rsid w:val="00E00FF6"/>
    <w:pPr>
      <w:spacing w:line="240" w:lineRule="auto"/>
      <w:outlineLvl w:val="0"/>
    </w:pPr>
    <w:rPr>
      <w:rFonts w:cs="Arial"/>
      <w:b/>
      <w:noProof/>
      <w:color w:val="4884A2"/>
      <w:sz w:val="40"/>
    </w:rPr>
  </w:style>
  <w:style w:type="character" w:customStyle="1" w:styleId="TitleChar">
    <w:name w:val="Title Char"/>
    <w:link w:val="Title"/>
    <w:uiPriority w:val="10"/>
    <w:rsid w:val="00E00FF6"/>
    <w:rPr>
      <w:rFonts w:cs="Arial"/>
      <w:b/>
      <w:noProof/>
      <w:color w:val="4884A2"/>
      <w:sz w:val="40"/>
      <w:szCs w:val="22"/>
    </w:rPr>
  </w:style>
  <w:style w:type="paragraph" w:styleId="Header">
    <w:name w:val="header"/>
    <w:basedOn w:val="Normal"/>
    <w:link w:val="HeaderChar"/>
    <w:uiPriority w:val="99"/>
    <w:unhideWhenUsed/>
    <w:rsid w:val="00777DD9"/>
    <w:pPr>
      <w:tabs>
        <w:tab w:val="center" w:pos="4680"/>
        <w:tab w:val="right" w:pos="9360"/>
      </w:tabs>
      <w:spacing w:after="0" w:line="240" w:lineRule="auto"/>
    </w:pPr>
  </w:style>
  <w:style w:type="character" w:customStyle="1" w:styleId="HeaderChar">
    <w:name w:val="Header Char"/>
    <w:link w:val="Header"/>
    <w:uiPriority w:val="99"/>
    <w:rsid w:val="00777DD9"/>
    <w:rPr>
      <w:rFonts w:ascii="Calibri" w:eastAsia="Calibri" w:hAnsi="Calibri" w:cs="Times New Roman"/>
    </w:rPr>
  </w:style>
  <w:style w:type="paragraph" w:styleId="Footer">
    <w:name w:val="footer"/>
    <w:basedOn w:val="Normal"/>
    <w:link w:val="FooterChar"/>
    <w:uiPriority w:val="99"/>
    <w:unhideWhenUsed/>
    <w:rsid w:val="00777DD9"/>
    <w:pPr>
      <w:tabs>
        <w:tab w:val="center" w:pos="4680"/>
        <w:tab w:val="right" w:pos="9360"/>
      </w:tabs>
      <w:spacing w:after="0" w:line="240" w:lineRule="auto"/>
    </w:pPr>
  </w:style>
  <w:style w:type="character" w:customStyle="1" w:styleId="FooterChar">
    <w:name w:val="Footer Char"/>
    <w:link w:val="Footer"/>
    <w:uiPriority w:val="99"/>
    <w:rsid w:val="00777DD9"/>
    <w:rPr>
      <w:rFonts w:ascii="Calibri" w:eastAsia="Calibri" w:hAnsi="Calibri" w:cs="Times New Roman"/>
    </w:rPr>
  </w:style>
  <w:style w:type="character" w:styleId="SubtleReference">
    <w:name w:val="Subtle Reference"/>
    <w:uiPriority w:val="31"/>
    <w:rsid w:val="00BA0696"/>
    <w:rPr>
      <w:rFonts w:ascii="Calibri" w:hAnsi="Calibri"/>
      <w:dstrike w:val="0"/>
      <w:color w:val="7F7F7F"/>
      <w:sz w:val="16"/>
      <w:u w:val="none"/>
      <w:vertAlign w:val="baseline"/>
    </w:rPr>
  </w:style>
  <w:style w:type="table" w:styleId="TableGrid">
    <w:name w:val="Table Grid"/>
    <w:basedOn w:val="TableNormal"/>
    <w:uiPriority w:val="39"/>
    <w:rsid w:val="00236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heading">
    <w:name w:val="Text box heading"/>
    <w:basedOn w:val="BodyText2"/>
    <w:link w:val="TextboxheadingChar"/>
    <w:rsid w:val="002364F9"/>
    <w:pPr>
      <w:ind w:left="0" w:right="0"/>
    </w:pPr>
    <w:rPr>
      <w:color w:val="FFFFFF"/>
      <w:sz w:val="28"/>
    </w:rPr>
  </w:style>
  <w:style w:type="character" w:customStyle="1" w:styleId="TextboxheadingChar">
    <w:name w:val="Text box heading Char"/>
    <w:link w:val="Textboxheading"/>
    <w:rsid w:val="002364F9"/>
    <w:rPr>
      <w:rFonts w:ascii="Calibri" w:eastAsia="Times New Roman" w:hAnsi="Calibri" w:cs="Times New Roman"/>
      <w:b/>
      <w:caps/>
      <w:color w:val="FFFFFF"/>
      <w:sz w:val="28"/>
      <w:szCs w:val="20"/>
    </w:rPr>
  </w:style>
  <w:style w:type="paragraph" w:customStyle="1" w:styleId="BulletlistHighlight">
    <w:name w:val="Bullet list Highlight"/>
    <w:basedOn w:val="BodyText"/>
    <w:link w:val="BulletlistHighlightChar"/>
    <w:rsid w:val="0082527D"/>
    <w:pPr>
      <w:numPr>
        <w:numId w:val="1"/>
      </w:numPr>
      <w:spacing w:before="120"/>
    </w:pPr>
    <w:rPr>
      <w:color w:val="FFFFFF"/>
    </w:rPr>
  </w:style>
  <w:style w:type="character" w:customStyle="1" w:styleId="BulletlistHighlightChar">
    <w:name w:val="Bullet list Highlight Char"/>
    <w:link w:val="BulletlistHighlight"/>
    <w:rsid w:val="0082527D"/>
    <w:rPr>
      <w:rFonts w:ascii="Calibri" w:eastAsia="Times New Roman" w:hAnsi="Calibri" w:cs="Arial"/>
      <w:color w:val="FFFFFF"/>
      <w:sz w:val="20"/>
      <w:szCs w:val="20"/>
    </w:rPr>
  </w:style>
  <w:style w:type="paragraph" w:customStyle="1" w:styleId="BulletList">
    <w:name w:val="Bullet List"/>
    <w:basedOn w:val="BodyText"/>
    <w:link w:val="BulletListChar"/>
    <w:qFormat/>
    <w:rsid w:val="007201D3"/>
    <w:pPr>
      <w:numPr>
        <w:numId w:val="2"/>
      </w:numPr>
      <w:spacing w:before="120"/>
    </w:pPr>
  </w:style>
  <w:style w:type="character" w:customStyle="1" w:styleId="BulletListChar">
    <w:name w:val="Bullet List Char"/>
    <w:link w:val="BulletList"/>
    <w:rsid w:val="007201D3"/>
    <w:rPr>
      <w:rFonts w:eastAsia="Times New Roman" w:cs="Arial"/>
      <w:color w:val="595959"/>
      <w:sz w:val="22"/>
    </w:rPr>
  </w:style>
  <w:style w:type="paragraph" w:customStyle="1" w:styleId="H-Text">
    <w:name w:val="H-Text"/>
    <w:basedOn w:val="Heading2"/>
    <w:link w:val="H-TextChar"/>
    <w:qFormat/>
    <w:rsid w:val="00281307"/>
    <w:pPr>
      <w:spacing w:before="120"/>
    </w:pPr>
    <w:rPr>
      <w:b w:val="0"/>
      <w:i w:val="0"/>
      <w:sz w:val="22"/>
    </w:rPr>
  </w:style>
  <w:style w:type="character" w:customStyle="1" w:styleId="Heading3Char">
    <w:name w:val="Heading 3 Char"/>
    <w:link w:val="Heading3"/>
    <w:uiPriority w:val="9"/>
    <w:rsid w:val="00F06BC9"/>
    <w:rPr>
      <w:i/>
      <w:color w:val="595959"/>
      <w:sz w:val="24"/>
      <w:szCs w:val="22"/>
    </w:rPr>
  </w:style>
  <w:style w:type="character" w:customStyle="1" w:styleId="H-TextChar">
    <w:name w:val="H-Text Char"/>
    <w:link w:val="H-Text"/>
    <w:rsid w:val="00281307"/>
    <w:rPr>
      <w:color w:val="595959"/>
      <w:sz w:val="22"/>
      <w:szCs w:val="22"/>
    </w:rPr>
  </w:style>
  <w:style w:type="paragraph" w:customStyle="1" w:styleId="T-Heading">
    <w:name w:val="T-Heading"/>
    <w:basedOn w:val="Normal"/>
    <w:link w:val="T-HeadingChar"/>
    <w:qFormat/>
    <w:rsid w:val="0084048C"/>
    <w:pPr>
      <w:spacing w:before="120" w:after="120" w:line="240" w:lineRule="auto"/>
      <w:jc w:val="center"/>
    </w:pPr>
    <w:rPr>
      <w:b/>
      <w:caps/>
      <w:color w:val="FFFFFF"/>
      <w:sz w:val="28"/>
      <w:szCs w:val="20"/>
    </w:rPr>
  </w:style>
  <w:style w:type="paragraph" w:customStyle="1" w:styleId="T-Text">
    <w:name w:val="T-Text"/>
    <w:basedOn w:val="Normal"/>
    <w:link w:val="T-TextChar"/>
    <w:qFormat/>
    <w:rsid w:val="007201D3"/>
    <w:pPr>
      <w:spacing w:before="120" w:after="120" w:line="240" w:lineRule="auto"/>
    </w:pPr>
    <w:rPr>
      <w:sz w:val="22"/>
      <w:szCs w:val="20"/>
    </w:rPr>
  </w:style>
  <w:style w:type="character" w:customStyle="1" w:styleId="T-HeadingChar">
    <w:name w:val="T-Heading Char"/>
    <w:link w:val="T-Heading"/>
    <w:rsid w:val="0084048C"/>
    <w:rPr>
      <w:b/>
      <w:caps/>
      <w:color w:val="FFFFFF"/>
      <w:sz w:val="28"/>
      <w:szCs w:val="20"/>
    </w:rPr>
  </w:style>
  <w:style w:type="paragraph" w:styleId="ListParagraph">
    <w:name w:val="List Paragraph"/>
    <w:basedOn w:val="Normal"/>
    <w:link w:val="ListParagraphChar"/>
    <w:uiPriority w:val="34"/>
    <w:rsid w:val="004D0A73"/>
    <w:pPr>
      <w:ind w:left="720"/>
      <w:contextualSpacing/>
    </w:pPr>
  </w:style>
  <w:style w:type="character" w:customStyle="1" w:styleId="T-TextChar">
    <w:name w:val="T-Text Char"/>
    <w:link w:val="T-Text"/>
    <w:rsid w:val="007201D3"/>
    <w:rPr>
      <w:color w:val="595959"/>
      <w:sz w:val="22"/>
    </w:rPr>
  </w:style>
  <w:style w:type="paragraph" w:customStyle="1" w:styleId="T-BulletList">
    <w:name w:val="T-Bullet List"/>
    <w:basedOn w:val="ListParagraph"/>
    <w:link w:val="T-BulletListChar"/>
    <w:qFormat/>
    <w:rsid w:val="007201D3"/>
    <w:pPr>
      <w:numPr>
        <w:numId w:val="11"/>
      </w:numPr>
      <w:spacing w:before="120" w:after="120" w:line="240" w:lineRule="auto"/>
      <w:contextualSpacing w:val="0"/>
    </w:pPr>
    <w:rPr>
      <w:sz w:val="22"/>
      <w:szCs w:val="20"/>
    </w:rPr>
  </w:style>
  <w:style w:type="paragraph" w:customStyle="1" w:styleId="H-BulletList0">
    <w:name w:val="H-Bullet List"/>
    <w:basedOn w:val="T-BulletList"/>
    <w:link w:val="H-BulletListChar"/>
    <w:rsid w:val="007201D3"/>
    <w:pPr>
      <w:numPr>
        <w:numId w:val="3"/>
      </w:numPr>
    </w:pPr>
    <w:rPr>
      <w:szCs w:val="24"/>
    </w:rPr>
  </w:style>
  <w:style w:type="character" w:customStyle="1" w:styleId="ListParagraphChar">
    <w:name w:val="List Paragraph Char"/>
    <w:link w:val="ListParagraph"/>
    <w:uiPriority w:val="34"/>
    <w:rsid w:val="003774F7"/>
    <w:rPr>
      <w:rFonts w:ascii="Calibri" w:eastAsia="Calibri" w:hAnsi="Calibri" w:cs="Times New Roman"/>
    </w:rPr>
  </w:style>
  <w:style w:type="character" w:customStyle="1" w:styleId="T-BulletListChar">
    <w:name w:val="T-Bullet List Char"/>
    <w:link w:val="T-BulletList"/>
    <w:rsid w:val="007201D3"/>
    <w:rPr>
      <w:color w:val="595959"/>
      <w:sz w:val="22"/>
    </w:rPr>
  </w:style>
  <w:style w:type="paragraph" w:customStyle="1" w:styleId="LR-Heading">
    <w:name w:val="LR-Heading"/>
    <w:basedOn w:val="Textboxheading"/>
    <w:link w:val="LR-HeadingChar"/>
    <w:qFormat/>
    <w:rsid w:val="00E00FF6"/>
    <w:pPr>
      <w:spacing w:before="120" w:after="120"/>
    </w:pPr>
    <w:rPr>
      <w:color w:val="E5874D"/>
    </w:rPr>
  </w:style>
  <w:style w:type="character" w:customStyle="1" w:styleId="H-BulletListChar">
    <w:name w:val="H-Bullet List Char"/>
    <w:link w:val="H-BulletList0"/>
    <w:rsid w:val="007201D3"/>
    <w:rPr>
      <w:color w:val="595959"/>
      <w:sz w:val="22"/>
      <w:szCs w:val="24"/>
    </w:rPr>
  </w:style>
  <w:style w:type="paragraph" w:customStyle="1" w:styleId="LR-Text">
    <w:name w:val="LR-Text"/>
    <w:basedOn w:val="BulletlistHighlight"/>
    <w:link w:val="LR-TextChar"/>
    <w:qFormat/>
    <w:rsid w:val="007201D3"/>
    <w:pPr>
      <w:numPr>
        <w:numId w:val="0"/>
      </w:numPr>
    </w:pPr>
    <w:rPr>
      <w:color w:val="595959"/>
    </w:rPr>
  </w:style>
  <w:style w:type="character" w:customStyle="1" w:styleId="LR-HeadingChar">
    <w:name w:val="LR-Heading Char"/>
    <w:link w:val="LR-Heading"/>
    <w:rsid w:val="00E00FF6"/>
    <w:rPr>
      <w:rFonts w:eastAsia="Times New Roman"/>
      <w:b/>
      <w:caps/>
      <w:color w:val="E5874D"/>
      <w:sz w:val="28"/>
    </w:rPr>
  </w:style>
  <w:style w:type="paragraph" w:customStyle="1" w:styleId="LR-BulletList">
    <w:name w:val="LR-Bullet List"/>
    <w:basedOn w:val="BulletlistHighlight"/>
    <w:link w:val="LR-BulletListChar"/>
    <w:qFormat/>
    <w:rsid w:val="007201D3"/>
    <w:rPr>
      <w:color w:val="595959"/>
    </w:rPr>
  </w:style>
  <w:style w:type="character" w:customStyle="1" w:styleId="LR-TextChar">
    <w:name w:val="LR-Text Char"/>
    <w:link w:val="LR-Text"/>
    <w:rsid w:val="007201D3"/>
    <w:rPr>
      <w:rFonts w:eastAsia="Times New Roman" w:cs="Arial"/>
      <w:color w:val="595959"/>
      <w:sz w:val="22"/>
    </w:rPr>
  </w:style>
  <w:style w:type="paragraph" w:customStyle="1" w:styleId="FooterText">
    <w:name w:val="Footer Text"/>
    <w:basedOn w:val="Normal"/>
    <w:link w:val="FooterTextChar"/>
    <w:rsid w:val="003774F7"/>
    <w:rPr>
      <w:rFonts w:ascii="Verdana" w:hAnsi="Verdana"/>
    </w:rPr>
  </w:style>
  <w:style w:type="character" w:customStyle="1" w:styleId="LR-BulletListChar">
    <w:name w:val="LR-Bullet List Char"/>
    <w:link w:val="LR-BulletList"/>
    <w:rsid w:val="007201D3"/>
    <w:rPr>
      <w:rFonts w:eastAsia="Times New Roman" w:cs="Arial"/>
      <w:color w:val="595959"/>
      <w:sz w:val="22"/>
    </w:rPr>
  </w:style>
  <w:style w:type="paragraph" w:customStyle="1" w:styleId="Providedby">
    <w:name w:val="Provided by"/>
    <w:basedOn w:val="BodyText"/>
    <w:link w:val="ProvidedbyChar"/>
    <w:rsid w:val="003774F7"/>
    <w:pPr>
      <w:ind w:right="-10"/>
    </w:pPr>
    <w:rPr>
      <w:b/>
      <w:noProof/>
      <w:color w:val="BC5D58"/>
    </w:rPr>
  </w:style>
  <w:style w:type="character" w:customStyle="1" w:styleId="FooterTextChar">
    <w:name w:val="Footer Text Char"/>
    <w:link w:val="FooterText"/>
    <w:rsid w:val="003774F7"/>
    <w:rPr>
      <w:rFonts w:ascii="Verdana" w:eastAsia="Calibri" w:hAnsi="Verdana" w:cs="Times New Roman"/>
    </w:rPr>
  </w:style>
  <w:style w:type="character" w:customStyle="1" w:styleId="ProvidedbyChar">
    <w:name w:val="Provided by Char"/>
    <w:link w:val="Providedby"/>
    <w:rsid w:val="003774F7"/>
    <w:rPr>
      <w:rFonts w:ascii="Calibri" w:eastAsia="Times New Roman" w:hAnsi="Calibri" w:cs="Arial"/>
      <w:b/>
      <w:noProof/>
      <w:color w:val="BC5D58"/>
      <w:sz w:val="20"/>
      <w:szCs w:val="20"/>
    </w:rPr>
  </w:style>
  <w:style w:type="paragraph" w:customStyle="1" w:styleId="MergeField">
    <w:name w:val="Merge Field"/>
    <w:basedOn w:val="Providedby"/>
    <w:link w:val="MergeFieldChar"/>
    <w:qFormat/>
    <w:rsid w:val="00E00FF6"/>
    <w:rPr>
      <w:color w:val="4884A2"/>
    </w:rPr>
  </w:style>
  <w:style w:type="paragraph" w:customStyle="1" w:styleId="Numbering">
    <w:name w:val="Numbering"/>
    <w:basedOn w:val="BodyText"/>
    <w:link w:val="NumberingChar"/>
    <w:qFormat/>
    <w:rsid w:val="00F0224A"/>
    <w:pPr>
      <w:numPr>
        <w:numId w:val="10"/>
      </w:numPr>
      <w:spacing w:before="120"/>
    </w:pPr>
  </w:style>
  <w:style w:type="character" w:customStyle="1" w:styleId="MergeFieldChar">
    <w:name w:val="Merge Field Char"/>
    <w:link w:val="MergeField"/>
    <w:rsid w:val="00E00FF6"/>
    <w:rPr>
      <w:rFonts w:ascii="Calibri" w:eastAsia="Times New Roman" w:hAnsi="Calibri" w:cs="Arial"/>
      <w:b/>
      <w:noProof/>
      <w:color w:val="4884A2"/>
      <w:sz w:val="22"/>
      <w:szCs w:val="20"/>
    </w:rPr>
  </w:style>
  <w:style w:type="paragraph" w:customStyle="1" w:styleId="Disclaimer">
    <w:name w:val="Disclaimer"/>
    <w:basedOn w:val="FooterText"/>
    <w:link w:val="DisclaimerChar"/>
    <w:qFormat/>
    <w:rsid w:val="00947E11"/>
    <w:rPr>
      <w:color w:val="7F7F7F"/>
      <w:sz w:val="16"/>
    </w:rPr>
  </w:style>
  <w:style w:type="character" w:customStyle="1" w:styleId="NumberingChar">
    <w:name w:val="Numbering Char"/>
    <w:link w:val="Numbering"/>
    <w:rsid w:val="00F0224A"/>
    <w:rPr>
      <w:rFonts w:eastAsia="Times New Roman" w:cs="Arial"/>
      <w:color w:val="595959"/>
      <w:sz w:val="22"/>
    </w:rPr>
  </w:style>
  <w:style w:type="paragraph" w:customStyle="1" w:styleId="Bullets">
    <w:name w:val="Bullets"/>
    <w:basedOn w:val="BodyText"/>
    <w:link w:val="BulletsChar"/>
    <w:rsid w:val="00E00FF6"/>
    <w:pPr>
      <w:numPr>
        <w:numId w:val="13"/>
      </w:numPr>
      <w:spacing w:before="120" w:after="240"/>
    </w:pPr>
  </w:style>
  <w:style w:type="character" w:customStyle="1" w:styleId="DisclaimerChar">
    <w:name w:val="Disclaimer Char"/>
    <w:link w:val="Disclaimer"/>
    <w:rsid w:val="00947E11"/>
    <w:rPr>
      <w:rFonts w:ascii="Verdana" w:eastAsia="Calibri" w:hAnsi="Verdana" w:cs="Times New Roman"/>
      <w:color w:val="7F7F7F"/>
      <w:sz w:val="16"/>
    </w:rPr>
  </w:style>
  <w:style w:type="character" w:customStyle="1" w:styleId="BulletsChar">
    <w:name w:val="Bullets Char"/>
    <w:link w:val="Bullets"/>
    <w:rsid w:val="00E00FF6"/>
    <w:rPr>
      <w:rFonts w:eastAsia="Times New Roman" w:cs="Arial"/>
      <w:color w:val="595959"/>
      <w:sz w:val="22"/>
    </w:rPr>
  </w:style>
  <w:style w:type="paragraph" w:customStyle="1" w:styleId="H-Bulletlist">
    <w:name w:val="H-Bullet list"/>
    <w:basedOn w:val="H-Text"/>
    <w:link w:val="H-BulletlistChar0"/>
    <w:qFormat/>
    <w:rsid w:val="00E00FF6"/>
    <w:pPr>
      <w:numPr>
        <w:numId w:val="12"/>
      </w:numPr>
      <w:spacing w:line="240" w:lineRule="auto"/>
      <w:ind w:left="273" w:hanging="187"/>
    </w:pPr>
  </w:style>
  <w:style w:type="character" w:customStyle="1" w:styleId="H-BulletlistChar0">
    <w:name w:val="H-Bullet list Char"/>
    <w:link w:val="H-Bulletlist"/>
    <w:rsid w:val="00E00FF6"/>
    <w:rPr>
      <w:color w:val="595959"/>
      <w:sz w:val="22"/>
      <w:szCs w:val="22"/>
    </w:rPr>
  </w:style>
  <w:style w:type="paragraph" w:customStyle="1" w:styleId="Style1">
    <w:name w:val="Style1"/>
    <w:basedOn w:val="Normal"/>
    <w:link w:val="Style1Char"/>
    <w:rsid w:val="00F06BC9"/>
    <w:pPr>
      <w:pBdr>
        <w:bottom w:val="single" w:sz="18" w:space="1" w:color="4884A2"/>
      </w:pBdr>
      <w:spacing w:line="312" w:lineRule="auto"/>
    </w:pPr>
    <w:rPr>
      <w:b/>
      <w:i/>
      <w:color w:val="4884A2"/>
      <w:sz w:val="32"/>
      <w:szCs w:val="26"/>
    </w:rPr>
  </w:style>
  <w:style w:type="character" w:styleId="Hyperlink">
    <w:name w:val="Hyperlink"/>
    <w:uiPriority w:val="99"/>
    <w:unhideWhenUsed/>
    <w:rsid w:val="007B119E"/>
    <w:rPr>
      <w:color w:val="0563C1"/>
      <w:u w:val="single"/>
    </w:rPr>
  </w:style>
  <w:style w:type="character" w:customStyle="1" w:styleId="Style1Char">
    <w:name w:val="Style1 Char"/>
    <w:link w:val="Style1"/>
    <w:rsid w:val="00F06BC9"/>
    <w:rPr>
      <w:b/>
      <w:i/>
      <w:color w:val="4884A2"/>
      <w:sz w:val="32"/>
      <w:szCs w:val="26"/>
    </w:rPr>
  </w:style>
  <w:style w:type="character" w:styleId="FollowedHyperlink">
    <w:name w:val="FollowedHyperlink"/>
    <w:basedOn w:val="DefaultParagraphFont"/>
    <w:uiPriority w:val="99"/>
    <w:semiHidden/>
    <w:unhideWhenUsed/>
    <w:rsid w:val="003A70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dol.gov/sites/default/files/ebsa/about-ebsa/our-activities/resource-center/publications/an-employers-guide-to-group-health-continuation-coverage-under-cobra.pdf" TargetMode="External"/><Relationship Id="rId18" Type="http://schemas.openxmlformats.org/officeDocument/2006/relationships/hyperlink" Target="https://www.dol.gov/sites/default/files/ebsa/laws-and-regulations/laws/cobra/model-general-notice.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dol.gov/agencies/ebsa/laws-and-regulations/laws/cobra" TargetMode="External"/><Relationship Id="rId17" Type="http://schemas.openxmlformats.org/officeDocument/2006/relationships/hyperlink" Target="https://www.dol.gov/sites/default/files/ebsa/about-ebsa/our-activities/resource-center/publications/an-employers-guide-to-group-health-continuation-coverage-under-cobra.pdf" TargetMode="External"/><Relationship Id="rId25" Type="http://schemas.openxmlformats.org/officeDocument/2006/relationships/hyperlink" Target="https://www.dol.gov/sites/default/files/ebsa/laws-and-regulations/laws/cobra/model-election-notice-spanish.doc" TargetMode="External"/><Relationship Id="rId2" Type="http://schemas.openxmlformats.org/officeDocument/2006/relationships/numbering" Target="numbering.xml"/><Relationship Id="rId16" Type="http://schemas.openxmlformats.org/officeDocument/2006/relationships/hyperlink" Target="https://www.dol.gov/agencies/ebsa/laws-and-regulations/laws/cobr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dol.gov/sites/default/files/ebsa/laws-and-regulations/laws/cobra/model-election-notice.doc" TargetMode="External"/><Relationship Id="rId5" Type="http://schemas.openxmlformats.org/officeDocument/2006/relationships/webSettings" Target="webSettings.xml"/><Relationship Id="rId15" Type="http://schemas.openxmlformats.org/officeDocument/2006/relationships/hyperlink" Target="https://www.dol.gov/sites/default/files/ebsa/laws-and-regulations/laws/cobra/model-election-notice.doc" TargetMode="External"/><Relationship Id="rId23" Type="http://schemas.openxmlformats.org/officeDocument/2006/relationships/hyperlink" Target="https://www.dol.gov/sites/default/files/ebsa/laws-and-regulations/laws/cobra/model-general-notice-spanish.doc" TargetMode="External"/><Relationship Id="rId10" Type="http://schemas.openxmlformats.org/officeDocument/2006/relationships/image" Target="media/image2.png"/><Relationship Id="rId19" Type="http://schemas.openxmlformats.org/officeDocument/2006/relationships/hyperlink" Target="https://www.dol.gov/sites/default/files/ebsa/laws-and-regulations/laws/cobra/model-election-notice.do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dol.gov/sites/default/files/ebsa/laws-and-regulations/laws/cobra/model-general-notice.doc" TargetMode="External"/><Relationship Id="rId22" Type="http://schemas.openxmlformats.org/officeDocument/2006/relationships/hyperlink" Target="https://www.dol.gov/sites/default/files/ebsa/laws-and-regulations/laws/cobra/model-general-notice.doc"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7A727-C2BF-4D5A-A9FD-1954FF0A3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2255</Words>
  <Characters>12858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2020-12-02T00:30:00Z</dcterms:created>
  <dcterms:modified xsi:type="dcterms:W3CDTF">2020-12-02T00:30:00Z</dcterms:modified>
</cp:coreProperties>
</file>