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375A" w14:textId="77777777" w:rsidR="0026000D" w:rsidRPr="008A7E71" w:rsidRDefault="009C15E3" w:rsidP="009C15E3">
      <w:pPr>
        <w:pStyle w:val="MainTitle"/>
        <w:spacing w:line="204" w:lineRule="auto"/>
      </w:pPr>
      <w:r>
        <w:rPr>
          <w:noProof/>
        </w:rPr>
        <w:drawing>
          <wp:anchor distT="0" distB="0" distL="114300" distR="114300" simplePos="0" relativeHeight="251658240" behindDoc="0" locked="1" layoutInCell="1" allowOverlap="1" wp14:anchorId="1702DBF0" wp14:editId="63BC426E">
            <wp:simplePos x="0" y="0"/>
            <wp:positionH relativeFrom="margin">
              <wp:posOffset>2730500</wp:posOffset>
            </wp:positionH>
            <wp:positionV relativeFrom="margin">
              <wp:posOffset>6223000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66775"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00041629">
        <w:rPr>
          <w:noProof/>
        </w:rPr>
        <mc:AlternateContent>
          <mc:Choice Requires="wpg">
            <w:drawing>
              <wp:anchor distT="0" distB="0" distL="114300" distR="114300" simplePos="0" relativeHeight="251665408" behindDoc="1" locked="0" layoutInCell="1" allowOverlap="1" wp14:anchorId="484D514C" wp14:editId="5934BA8F">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1638362030"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03434D9B" w14:textId="77777777" w:rsidR="00A95ADA" w:rsidRPr="00B27C10" w:rsidRDefault="00041629" w:rsidP="00A95ADA">
                                <w:pPr>
                                  <w:pStyle w:val="SubHeader"/>
                                  <w:rPr>
                                    <w:color w:val="5083C9"/>
                                    <w:sz w:val="32"/>
                                    <w:szCs w:val="32"/>
                                  </w:rPr>
                                </w:pPr>
                                <w:r>
                                  <w:rPr>
                                    <w:color w:val="5083C9"/>
                                    <w:sz w:val="32"/>
                                    <w:szCs w:val="32"/>
                                  </w:rPr>
                                  <w:t>Annual Deadlines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7C369FCC" w14:textId="77777777" w:rsidR="004F049A" w:rsidRDefault="00041629" w:rsidP="00CD7C30">
                              <w:pPr>
                                <w:pStyle w:val="Bullet"/>
                                <w:spacing w:after="120"/>
                                <w:ind w:left="446"/>
                                <w:jc w:val="left"/>
                              </w:pPr>
                              <w:r>
                                <w:t xml:space="preserve">Employers that sponsor group health plans are subject to numerous compliance requirements throughout the year. </w:t>
                              </w:r>
                            </w:p>
                            <w:p w14:paraId="569D58AF" w14:textId="77777777" w:rsidR="004F049A" w:rsidRDefault="00041629" w:rsidP="00CD7C30">
                              <w:pPr>
                                <w:pStyle w:val="Bullet"/>
                                <w:spacing w:after="120"/>
                                <w:ind w:left="446"/>
                                <w:jc w:val="left"/>
                              </w:pPr>
                              <w:r>
                                <w:t xml:space="preserve">Not all of these compliance requirements will apply to every employer. </w:t>
                              </w:r>
                            </w:p>
                            <w:p w14:paraId="6D6009EA" w14:textId="77777777" w:rsidR="0024208C" w:rsidRPr="00526C74" w:rsidRDefault="00041629" w:rsidP="00CD7C30">
                              <w:pPr>
                                <w:pStyle w:val="Bullet"/>
                                <w:spacing w:after="120"/>
                                <w:ind w:left="446"/>
                                <w:jc w:val="left"/>
                              </w:pPr>
                              <w:r>
                                <w:t xml:space="preserve">For example, only employers with self-insured health plans are required to pay PCORI fees. </w:t>
                              </w:r>
                            </w:p>
                          </w:txbxContent>
                        </wps:txbx>
                        <wps:bodyPr rot="0" vert="horz" wrap="square" anchor="t" anchorCtr="0"/>
                      </wps:wsp>
                    </wpg:wgp>
                  </a:graphicData>
                </a:graphic>
              </wp:anchor>
            </w:drawing>
          </mc:Choice>
          <mc:Fallback>
            <w:pict>
              <v:group w14:anchorId="484D514C"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3434D9B" w14:textId="77777777" w:rsidR="00A95ADA" w:rsidRPr="00B27C10" w:rsidRDefault="00041629" w:rsidP="00A95ADA">
                          <w:pPr>
                            <w:pStyle w:val="SubHeader"/>
                            <w:rPr>
                              <w:color w:val="5083C9"/>
                              <w:sz w:val="32"/>
                              <w:szCs w:val="32"/>
                            </w:rPr>
                          </w:pPr>
                          <w:r>
                            <w:rPr>
                              <w:color w:val="5083C9"/>
                              <w:sz w:val="32"/>
                              <w:szCs w:val="32"/>
                            </w:rPr>
                            <w:t>Annual Deadlines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C369FCC" w14:textId="77777777" w:rsidR="004F049A" w:rsidRDefault="00041629" w:rsidP="00CD7C30">
                        <w:pPr>
                          <w:pStyle w:val="Bullet"/>
                          <w:spacing w:after="120"/>
                          <w:ind w:left="446"/>
                          <w:jc w:val="left"/>
                        </w:pPr>
                        <w:r>
                          <w:t xml:space="preserve">Employers that sponsor group health plans are subject to numerous compliance requirements throughout the year. </w:t>
                        </w:r>
                      </w:p>
                      <w:p w14:paraId="569D58AF" w14:textId="77777777" w:rsidR="004F049A" w:rsidRDefault="00041629" w:rsidP="00CD7C30">
                        <w:pPr>
                          <w:pStyle w:val="Bullet"/>
                          <w:spacing w:after="120"/>
                          <w:ind w:left="446"/>
                          <w:jc w:val="left"/>
                        </w:pPr>
                        <w:r>
                          <w:t xml:space="preserve">Not all of these compliance requirements will apply to every employer. </w:t>
                        </w:r>
                      </w:p>
                      <w:p w14:paraId="6D6009EA" w14:textId="77777777" w:rsidR="0024208C" w:rsidRPr="00526C74" w:rsidRDefault="00041629" w:rsidP="00CD7C30">
                        <w:pPr>
                          <w:pStyle w:val="Bullet"/>
                          <w:spacing w:after="120"/>
                          <w:ind w:left="446"/>
                          <w:jc w:val="left"/>
                        </w:pPr>
                        <w:r>
                          <w:t xml:space="preserve">For example, only employers with self-insured health plans are required to pay PCORI fees. </w:t>
                        </w:r>
                      </w:p>
                    </w:txbxContent>
                  </v:textbox>
                </v:shape>
              </v:group>
            </w:pict>
          </mc:Fallback>
        </mc:AlternateContent>
      </w:r>
      <w:r>
        <w:t>Annual Compliance Deadlines for Health Plan</w:t>
      </w:r>
      <w:r w:rsidR="0098636D" w:rsidRPr="008A7E71">
        <w:t>s</w:t>
      </w:r>
    </w:p>
    <w:p w14:paraId="5A1F452B" w14:textId="77777777" w:rsidR="00B22ADC" w:rsidRDefault="00041629" w:rsidP="00CD7C30">
      <w:pPr>
        <w:pStyle w:val="BodyText"/>
        <w:spacing w:after="120"/>
      </w:pPr>
      <w:r>
        <w:t>Employers that provide group health plan covera</w:t>
      </w:r>
      <w:r>
        <w:t>ge to their employees are subject to numerous compliance requirements throughout the year, such as requirements for reporting, participant disclosure and certain fee payments. For example, employers with group health plans m</w:t>
      </w:r>
      <w:r w:rsidR="00CD7C30">
        <w:t>ay be required to:</w:t>
      </w:r>
    </w:p>
    <w:p w14:paraId="7CAD7BC7" w14:textId="77777777" w:rsidR="00CD7C30" w:rsidRDefault="00041629" w:rsidP="00B22ADC">
      <w:pPr>
        <w:pStyle w:val="Bullet"/>
      </w:pPr>
      <w:r>
        <w:t>File a Form 5</w:t>
      </w:r>
      <w:r>
        <w:t xml:space="preserve">500 </w:t>
      </w:r>
      <w:r w:rsidRPr="00CD7C30">
        <w:t xml:space="preserve">by the last day of the seventh month following the end of the plan year </w:t>
      </w:r>
      <w:r>
        <w:t xml:space="preserve">(or request a filing extension); </w:t>
      </w:r>
    </w:p>
    <w:p w14:paraId="2672767C" w14:textId="77777777" w:rsidR="00CD7C30" w:rsidRDefault="00041629" w:rsidP="00B22ADC">
      <w:pPr>
        <w:pStyle w:val="Bullet"/>
      </w:pPr>
      <w:r>
        <w:t xml:space="preserve">Provide Medicare Part D creditable coverage disclosures to plan participants by Oct. 15 of each year; and </w:t>
      </w:r>
    </w:p>
    <w:p w14:paraId="103829D3" w14:textId="77777777" w:rsidR="004F049A" w:rsidRDefault="00041629" w:rsidP="00CD7C30">
      <w:pPr>
        <w:pStyle w:val="Bullet"/>
        <w:spacing w:after="120"/>
      </w:pPr>
      <w:r>
        <w:t xml:space="preserve">Pay </w:t>
      </w:r>
      <w:r w:rsidRPr="00CD7C30">
        <w:t xml:space="preserve">Patient-Centered Outcomes Research </w:t>
      </w:r>
      <w:r w:rsidRPr="00CD7C30">
        <w:t xml:space="preserve">Institute (PCORI) fees </w:t>
      </w:r>
      <w:r>
        <w:t xml:space="preserve">by July 31 of each year. </w:t>
      </w:r>
    </w:p>
    <w:p w14:paraId="55A92EA9" w14:textId="77777777" w:rsidR="00551356" w:rsidRDefault="00041629" w:rsidP="004967FA">
      <w:pPr>
        <w:pStyle w:val="BodyText"/>
      </w:pPr>
      <w:r>
        <w:rPr>
          <w:noProof/>
        </w:rPr>
        <mc:AlternateContent>
          <mc:Choice Requires="wps">
            <w:drawing>
              <wp:anchor distT="0" distB="0" distL="114300" distR="114300" simplePos="0" relativeHeight="251663360" behindDoc="0" locked="0" layoutInCell="1" allowOverlap="1" wp14:anchorId="56E5D3A5" wp14:editId="49F536A9">
                <wp:simplePos x="0" y="0"/>
                <wp:positionH relativeFrom="margin">
                  <wp:align>center</wp:align>
                </wp:positionH>
                <wp:positionV relativeFrom="page">
                  <wp:posOffset>6362700</wp:posOffset>
                </wp:positionV>
                <wp:extent cx="4356735" cy="1971675"/>
                <wp:effectExtent l="0" t="0" r="5715" b="952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971675"/>
                        </a:xfrm>
                        <a:prstGeom prst="rect">
                          <a:avLst/>
                        </a:prstGeom>
                        <a:solidFill>
                          <a:srgbClr val="5083C9">
                            <a:alpha val="10000"/>
                          </a:srgbClr>
                        </a:solidFill>
                        <a:ln w="38100">
                          <a:noFill/>
                          <a:miter lim="800000"/>
                          <a:headEnd/>
                          <a:tailEnd/>
                        </a:ln>
                      </wps:spPr>
                      <wps:txbx>
                        <w:txbxContent>
                          <w:p w14:paraId="17407F71" w14:textId="77777777" w:rsidR="008C01A9" w:rsidRDefault="00041629" w:rsidP="00A95ADA">
                            <w:pPr>
                              <w:pStyle w:val="LR-Heading"/>
                              <w:rPr>
                                <w:color w:val="5083C9"/>
                              </w:rPr>
                            </w:pPr>
                            <w:r>
                              <w:rPr>
                                <w:color w:val="5083C9"/>
                              </w:rPr>
                              <w:t>calendar year deadline</w:t>
                            </w:r>
                            <w:r w:rsidRPr="008C01A9">
                              <w:rPr>
                                <w:color w:val="5083C9"/>
                              </w:rPr>
                              <w:t>s</w:t>
                            </w:r>
                          </w:p>
                          <w:p w14:paraId="2065C05C" w14:textId="77777777" w:rsidR="00192BA6" w:rsidRPr="008C01A9" w:rsidRDefault="00041629" w:rsidP="00CD7C30">
                            <w:pPr>
                              <w:pStyle w:val="BodyText"/>
                              <w:jc w:val="center"/>
                            </w:pPr>
                            <w:r w:rsidRPr="00192BA6">
                              <w:t xml:space="preserve">This chart only addresses </w:t>
                            </w:r>
                            <w:r w:rsidRPr="00192BA6">
                              <w:rPr>
                                <w:b/>
                              </w:rPr>
                              <w:t>recurring calendar year compliance deadlines</w:t>
                            </w:r>
                            <w:r w:rsidRPr="00192BA6">
                              <w:t>. The chart does not include other requirements that are not based on the calendar year. For example, a plan a</w:t>
                            </w:r>
                            <w:r w:rsidRPr="00192BA6">
                              <w:t>dministrator must provide a COBRA Election Notice to a qualified beneficiary after a qualifying event occurs. This type of notice requirement is not addressed in the chart below. Also, state laws may impose additional obligations. Users of this chart shoul</w:t>
                            </w:r>
                            <w:r w:rsidRPr="00192BA6">
                              <w:t>d refer to the specific federal or state law at issue for complete information.</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56E5D3A5" id="Text Box 21" o:spid="_x0000_s1031" type="#_x0000_t202" style="position:absolute;left:0;text-align:left;margin-left:0;margin-top:501pt;width:343.05pt;height:155.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" fillcolor="#5083c9" stroked="f" strokeweight="3pt">
                <v:fill opacity="6682f"/>
                <v:textbox inset=",0">
                  <w:txbxContent>
                    <w:p w14:paraId="17407F71" w14:textId="77777777" w:rsidR="008C01A9" w:rsidRDefault="00041629" w:rsidP="00A95ADA">
                      <w:pPr>
                        <w:pStyle w:val="LR-Heading"/>
                        <w:rPr>
                          <w:color w:val="5083C9"/>
                        </w:rPr>
                      </w:pPr>
                      <w:r>
                        <w:rPr>
                          <w:color w:val="5083C9"/>
                        </w:rPr>
                        <w:t>calendar year deadline</w:t>
                      </w:r>
                      <w:r w:rsidRPr="008C01A9">
                        <w:rPr>
                          <w:color w:val="5083C9"/>
                        </w:rPr>
                        <w:t>s</w:t>
                      </w:r>
                    </w:p>
                    <w:p w14:paraId="2065C05C" w14:textId="77777777" w:rsidR="00192BA6" w:rsidRPr="008C01A9" w:rsidRDefault="00041629" w:rsidP="00CD7C30">
                      <w:pPr>
                        <w:pStyle w:val="BodyText"/>
                        <w:jc w:val="center"/>
                      </w:pPr>
                      <w:r w:rsidRPr="00192BA6">
                        <w:t xml:space="preserve">This chart only addresses </w:t>
                      </w:r>
                      <w:r w:rsidRPr="00192BA6">
                        <w:rPr>
                          <w:b/>
                        </w:rPr>
                        <w:t>recurring calendar year compliance deadlines</w:t>
                      </w:r>
                      <w:r w:rsidRPr="00192BA6">
                        <w:t>. The chart does not include other requirements that are not based on the calendar year. For example, a plan a</w:t>
                      </w:r>
                      <w:r w:rsidRPr="00192BA6">
                        <w:t>dministrator must provide a COBRA Election Notice to a qualified beneficiary after a qualifying event occurs. This type of notice requirement is not addressed in the chart below. Also, state laws may impose additional obligations. Users of this chart shoul</w:t>
                      </w:r>
                      <w:r w:rsidRPr="00192BA6">
                        <w:t>d refer to the specific federal or state law at issue for complete information.</w:t>
                      </w:r>
                    </w:p>
                  </w:txbxContent>
                </v:textbox>
                <w10:wrap type="topAndBottom" anchorx="margin" anchory="page"/>
              </v:shape>
            </w:pict>
          </mc:Fallback>
        </mc:AlternateContent>
      </w:r>
      <w:r>
        <w:rPr>
          <w:noProof/>
        </w:rPr>
        <mc:AlternateContent>
          <mc:Choice Requires="wpg">
            <w:drawing>
              <wp:anchor distT="0" distB="0" distL="114300" distR="114300" simplePos="0" relativeHeight="251661312" behindDoc="1" locked="0" layoutInCell="1" allowOverlap="1" wp14:anchorId="5F3EC370" wp14:editId="05DC9BEC">
                <wp:simplePos x="0" y="0"/>
                <wp:positionH relativeFrom="page">
                  <wp:align>right</wp:align>
                </wp:positionH>
                <wp:positionV relativeFrom="page">
                  <wp:posOffset>5549265</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24FC46A" w14:textId="77777777" w:rsidR="00677DD4" w:rsidRPr="00B27C10" w:rsidRDefault="00041629" w:rsidP="00677DD4">
                                <w:pPr>
                                  <w:pStyle w:val="SubHeader"/>
                                  <w:rPr>
                                    <w:color w:val="5083C9"/>
                                    <w:sz w:val="32"/>
                                    <w:szCs w:val="32"/>
                                  </w:rPr>
                                </w:pPr>
                                <w:r>
                                  <w:rPr>
                                    <w:color w:val="5083C9"/>
                                    <w:sz w:val="32"/>
                                    <w:szCs w:val="32"/>
                                  </w:rPr>
                                  <w:t>Action Steps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58E9D673" w14:textId="77777777" w:rsidR="00192BA6" w:rsidRDefault="00041629" w:rsidP="00CD7C30">
                              <w:pPr>
                                <w:pStyle w:val="Bullet"/>
                                <w:spacing w:after="120"/>
                                <w:ind w:left="446"/>
                                <w:jc w:val="left"/>
                              </w:pPr>
                              <w:r>
                                <w:t xml:space="preserve">Health plan sponsors should work with their advisors to determine which recurring deadlines apply to them. </w:t>
                              </w:r>
                            </w:p>
                            <w:p w14:paraId="1DD4EE71" w14:textId="77777777" w:rsidR="00677DD4" w:rsidRDefault="00041629" w:rsidP="00CD7C30">
                              <w:pPr>
                                <w:pStyle w:val="Bullet"/>
                                <w:spacing w:after="120"/>
                                <w:ind w:left="446"/>
                                <w:jc w:val="left"/>
                              </w:pPr>
                              <w:r>
                                <w:t>In addition to the compliance requirements described in this chart, it's important for plan sponsors to monitor legislative and regulatory developme</w:t>
                              </w:r>
                              <w:r>
                                <w:t xml:space="preserve">nts. </w:t>
                              </w:r>
                            </w:p>
                            <w:p w14:paraId="0CCC37C6" w14:textId="77777777" w:rsidR="00CD7C30" w:rsidRDefault="00041629" w:rsidP="00CD7C30">
                              <w:pPr>
                                <w:pStyle w:val="Bullet"/>
                                <w:spacing w:after="120"/>
                                <w:ind w:left="446"/>
                                <w:jc w:val="left"/>
                              </w:pPr>
                              <w:r>
                                <w:t xml:space="preserve">Some deadlines have been extended due to the COVID-19 outbreak. </w:t>
                              </w:r>
                            </w:p>
                          </w:txbxContent>
                        </wps:txbx>
                        <wps:bodyPr rot="0" vert="horz" wrap="square" anchor="t" anchorCtr="0"/>
                      </wps:wsp>
                    </wpg:wgp>
                  </a:graphicData>
                </a:graphic>
              </wp:anchor>
            </w:drawing>
          </mc:Choice>
          <mc:Fallback>
            <w:pict>
              <v:group w14:anchorId="5F3EC370" id="Group 10" o:spid="_x0000_s1032" style="position:absolute;left:0;text-align:left;margin-left:560.75pt;margin-top:436.95pt;width:611.95pt;height:222.6pt;z-index:-251655168;mso-position-horizontal:right;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">
                <v:group id="Group 8" o:spid="_x0000_s1033"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10" o:title=""/>
                  </v:shape>
                  <v:shape id="Text Box 2" o:spid="_x0000_s1035"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24FC46A" w14:textId="77777777" w:rsidR="00677DD4" w:rsidRPr="00B27C10" w:rsidRDefault="00041629" w:rsidP="00677DD4">
                          <w:pPr>
                            <w:pStyle w:val="SubHeader"/>
                            <w:rPr>
                              <w:color w:val="5083C9"/>
                              <w:sz w:val="32"/>
                              <w:szCs w:val="32"/>
                            </w:rPr>
                          </w:pPr>
                          <w:r>
                            <w:rPr>
                              <w:color w:val="5083C9"/>
                              <w:sz w:val="32"/>
                              <w:szCs w:val="32"/>
                            </w:rPr>
                            <w:t>Action Steps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8E9D673" w14:textId="77777777" w:rsidR="00192BA6" w:rsidRDefault="00041629" w:rsidP="00CD7C30">
                        <w:pPr>
                          <w:pStyle w:val="Bullet"/>
                          <w:spacing w:after="120"/>
                          <w:ind w:left="446"/>
                          <w:jc w:val="left"/>
                        </w:pPr>
                        <w:r>
                          <w:t xml:space="preserve">Health plan sponsors should work with their advisors to determine which recurring deadlines apply to them. </w:t>
                        </w:r>
                      </w:p>
                      <w:p w14:paraId="1DD4EE71" w14:textId="77777777" w:rsidR="00677DD4" w:rsidRDefault="00041629" w:rsidP="00CD7C30">
                        <w:pPr>
                          <w:pStyle w:val="Bullet"/>
                          <w:spacing w:after="120"/>
                          <w:ind w:left="446"/>
                          <w:jc w:val="left"/>
                        </w:pPr>
                        <w:r>
                          <w:t>In addition to the compliance requirements described in this chart, it's important for plan sponsors to monitor legislative and regulatory developme</w:t>
                        </w:r>
                        <w:r>
                          <w:t xml:space="preserve">nts. </w:t>
                        </w:r>
                      </w:p>
                      <w:p w14:paraId="0CCC37C6" w14:textId="77777777" w:rsidR="00CD7C30" w:rsidRDefault="00041629" w:rsidP="00CD7C30">
                        <w:pPr>
                          <w:pStyle w:val="Bullet"/>
                          <w:spacing w:after="120"/>
                          <w:ind w:left="446"/>
                          <w:jc w:val="left"/>
                        </w:pPr>
                        <w:r>
                          <w:t xml:space="preserve">Some deadlines have been extended due to the COVID-19 outbreak. </w:t>
                        </w:r>
                      </w:p>
                    </w:txbxContent>
                  </v:textbox>
                </v:shape>
                <w10:wrap anchorx="page" anchory="page"/>
              </v:group>
            </w:pict>
          </mc:Fallback>
        </mc:AlternateContent>
      </w:r>
      <w:r w:rsidR="004F049A">
        <w:t>This Compliance Overview contains a high-level summary of the various compliance requirements and associated deadlines that health plan sponsors should be aware of throughout the year. It also summarizes annual notice requirements for group health plans. Please note that certain deadlines for non-calendar year plans may vary from what is outlined below.</w:t>
      </w:r>
    </w:p>
    <w:p w14:paraId="566FED46" w14:textId="77777777" w:rsidR="00551356" w:rsidRDefault="00041629" w:rsidP="00551356">
      <w:pPr>
        <w:spacing w:before="120" w:after="120"/>
        <w:rPr>
          <w:rFonts w:eastAsia="Times New Roman" w:cs="Arial"/>
          <w:color w:val="595959"/>
        </w:rPr>
      </w:pPr>
      <w:r>
        <w:rPr>
          <w:noProof/>
        </w:rPr>
        <mc:AlternateContent>
          <mc:Choice Requires="wps">
            <w:drawing>
              <wp:anchor distT="0" distB="0" distL="114300" distR="114300" simplePos="0" relativeHeight="251660288" behindDoc="0" locked="0" layoutInCell="1" allowOverlap="1" wp14:anchorId="7B56665A" wp14:editId="3CA17EAF">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209AF647" w14:textId="77777777" w:rsidR="00E6115F" w:rsidRPr="000847AD" w:rsidRDefault="00041629"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B56665A" id="Text Box 24" o:spid="_x0000_s1037" type="#_x0000_t202" style="position:absolute;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209AF647" w14:textId="77777777" w:rsidR="00E6115F" w:rsidRPr="000847AD" w:rsidRDefault="00041629"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r w:rsidR="008A7E71" w:rsidRPr="00C84C66">
        <w:rPr>
          <w:b/>
          <w:color w:val="FFFFFF" w:themeColor="background1"/>
        </w:rPr>
        <w:t xml:space="preserve">s </w:t>
      </w:r>
    </w:p>
    <w:p w14:paraId="1EEE7524" w14:textId="77777777" w:rsidR="00551356" w:rsidRPr="00551356" w:rsidRDefault="00551356" w:rsidP="00551356">
      <w:pPr>
        <w:spacing w:before="120" w:after="120"/>
        <w:rPr>
          <w:rFonts w:eastAsia="Times New Roman" w:cs="Arial"/>
          <w:color w:val="595959"/>
        </w:rPr>
        <w:sectPr w:rsidR="00551356" w:rsidRPr="00551356" w:rsidSect="008A7E71">
          <w:headerReference w:type="default" r:id="rId11"/>
          <w:footerReference w:type="default" r:id="rId12"/>
          <w:pgSz w:w="12240" w:h="15840"/>
          <w:pgMar w:top="3946" w:right="4680" w:bottom="1440" w:left="720" w:header="720" w:footer="720" w:gutter="0"/>
          <w:cols w:space="720"/>
          <w:docGrid w:linePitch="360"/>
        </w:sectPr>
      </w:pPr>
    </w:p>
    <w:p w14:paraId="3D10B055" w14:textId="77777777" w:rsidR="00551356" w:rsidRDefault="00041629" w:rsidP="00551356">
      <w:pPr>
        <w:pStyle w:val="SubHeader"/>
      </w:pPr>
      <w:r>
        <w:lastRenderedPageBreak/>
        <w:t>Annual Compliance Deadlines</w:t>
      </w:r>
    </w:p>
    <w:p w14:paraId="444986F1" w14:textId="77777777" w:rsidR="00551356" w:rsidRDefault="00551356" w:rsidP="00551356">
      <w:pPr>
        <w:pStyle w:val="Sub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FF8"/>
        <w:tblLook w:val="04A0" w:firstRow="1" w:lastRow="0" w:firstColumn="1" w:lastColumn="0" w:noHBand="0" w:noVBand="1"/>
      </w:tblPr>
      <w:tblGrid>
        <w:gridCol w:w="10790"/>
      </w:tblGrid>
      <w:tr w:rsidR="00B05DD2" w14:paraId="369F9612" w14:textId="77777777" w:rsidTr="00551356">
        <w:tc>
          <w:tcPr>
            <w:tcW w:w="10790" w:type="dxa"/>
            <w:shd w:val="clear" w:color="auto" w:fill="E8EFF8"/>
          </w:tcPr>
          <w:p w14:paraId="53CAB220" w14:textId="77777777" w:rsidR="00551356" w:rsidRPr="00551356" w:rsidRDefault="00041629" w:rsidP="00551356">
            <w:pPr>
              <w:spacing w:before="120" w:after="120"/>
              <w:jc w:val="center"/>
              <w:rPr>
                <w:rFonts w:eastAsia="Times New Roman" w:cs="Arial"/>
                <w:b/>
                <w:color w:val="5083C9"/>
                <w:sz w:val="24"/>
                <w:szCs w:val="24"/>
              </w:rPr>
            </w:pPr>
            <w:r w:rsidRPr="00551356">
              <w:rPr>
                <w:rFonts w:eastAsia="Times New Roman" w:cs="Arial"/>
                <w:b/>
                <w:color w:val="5083C9"/>
                <w:sz w:val="24"/>
                <w:szCs w:val="24"/>
              </w:rPr>
              <w:t>COVID-19-Related Deadline Extensions</w:t>
            </w:r>
          </w:p>
          <w:p w14:paraId="22206904" w14:textId="77777777" w:rsidR="00551356" w:rsidRDefault="00041629" w:rsidP="00126C4A">
            <w:pPr>
              <w:spacing w:before="120" w:after="120"/>
            </w:pPr>
            <w:r>
              <w:rPr>
                <w:rFonts w:eastAsia="Times New Roman" w:cs="Arial"/>
                <w:color w:val="595959"/>
              </w:rPr>
              <w:t xml:space="preserve">On April 28, 2020, the DOL issued </w:t>
            </w:r>
            <w:hyperlink r:id="rId13" w:history="1">
              <w:r w:rsidRPr="00551356">
                <w:rPr>
                  <w:rStyle w:val="Hyperlink"/>
                  <w:rFonts w:eastAsia="Times New Roman" w:cs="Arial"/>
                </w:rPr>
                <w:t>Disaster Relief Notice 2020-01</w:t>
              </w:r>
            </w:hyperlink>
            <w:r w:rsidRPr="00276AA9">
              <w:rPr>
                <w:rFonts w:eastAsia="Times New Roman" w:cs="Arial"/>
                <w:color w:val="595959"/>
              </w:rPr>
              <w:t xml:space="preserve"> to extend the time to furnish benefit statements and other notices and disclosures required under ERISA, so that plan sponsors have additional time to meet their obligations during the COVID-19 outbreak.  </w:t>
            </w:r>
            <w:r>
              <w:rPr>
                <w:rFonts w:eastAsia="Times New Roman" w:cs="Arial"/>
                <w:color w:val="595959"/>
              </w:rPr>
              <w:t xml:space="preserve">Under this guidance, </w:t>
            </w:r>
            <w:r w:rsidRPr="00276AA9">
              <w:rPr>
                <w:rFonts w:eastAsia="Times New Roman" w:cs="Arial"/>
                <w:color w:val="595959"/>
              </w:rPr>
              <w:t>an employee benefit plan will</w:t>
            </w:r>
            <w:r w:rsidRPr="00276AA9">
              <w:rPr>
                <w:rFonts w:eastAsia="Times New Roman" w:cs="Arial"/>
                <w:color w:val="595959"/>
              </w:rPr>
              <w:t xml:space="preserve"> not be in violation of ERISA for a failure to timely furnish a notice, disclosure</w:t>
            </w:r>
            <w:r w:rsidR="003D50AA">
              <w:rPr>
                <w:rFonts w:eastAsia="Times New Roman" w:cs="Arial"/>
                <w:color w:val="595959"/>
              </w:rPr>
              <w:t xml:space="preserve"> </w:t>
            </w:r>
            <w:r w:rsidRPr="00276AA9">
              <w:rPr>
                <w:rFonts w:eastAsia="Times New Roman" w:cs="Arial"/>
                <w:color w:val="595959"/>
              </w:rPr>
              <w:t>or document that must be furnished between March 1, 2020, and 60 days after the announced end of the COVID-19 National Emergency, if they act in good faith. This means the p</w:t>
            </w:r>
            <w:r w:rsidRPr="00276AA9">
              <w:rPr>
                <w:rFonts w:eastAsia="Times New Roman" w:cs="Arial"/>
                <w:color w:val="595959"/>
              </w:rPr>
              <w:t>lan must furnish the documents as soon as administratively practicable under the circumstances.</w:t>
            </w:r>
          </w:p>
          <w:p w14:paraId="50698DCD" w14:textId="77777777" w:rsidR="00551356" w:rsidRDefault="00041629" w:rsidP="00551356">
            <w:pPr>
              <w:pStyle w:val="BodyText"/>
            </w:pPr>
            <w:r>
              <w:t>Key notices and disclosures required under ERISA include the summary plan description (SPD), summary of material modification</w:t>
            </w:r>
            <w:r w:rsidR="00126C4A">
              <w:t>s</w:t>
            </w:r>
            <w:r>
              <w:t xml:space="preserve"> (SMM), summary of benefits and co</w:t>
            </w:r>
            <w:r>
              <w:t>verage (SBC), Notice of Patient Protections, Notice of Grandfathered Status, wellness program disclosure under HIPAA, CHIP Notice</w:t>
            </w:r>
            <w:r w:rsidR="00126C4A">
              <w:t xml:space="preserve"> </w:t>
            </w:r>
            <w:r>
              <w:t xml:space="preserve">and Women’s Health and Cancer Rights Act Notice. </w:t>
            </w:r>
          </w:p>
          <w:p w14:paraId="7C71D905" w14:textId="77777777" w:rsidR="00551356" w:rsidRDefault="00041629" w:rsidP="00551356">
            <w:pPr>
              <w:pStyle w:val="BodyText"/>
            </w:pPr>
            <w:r>
              <w:t xml:space="preserve">The deadline extension contained in </w:t>
            </w:r>
            <w:r w:rsidRPr="00CD4652">
              <w:t>Disaster Relief Notice 2020-01</w:t>
            </w:r>
            <w:r>
              <w:t xml:space="preserve"> </w:t>
            </w:r>
            <w:r w:rsidRPr="00CD4652">
              <w:rPr>
                <w:b/>
              </w:rPr>
              <w:t xml:space="preserve">does not </w:t>
            </w:r>
            <w:r w:rsidRPr="00CD4652">
              <w:rPr>
                <w:b/>
              </w:rPr>
              <w:t>apply</w:t>
            </w:r>
            <w:r>
              <w:t xml:space="preserve"> to Forms 5500, as separate Form 5500 filing relief is provided by </w:t>
            </w:r>
            <w:hyperlink r:id="rId14" w:history="1">
              <w:r w:rsidRPr="00CD4652">
                <w:rPr>
                  <w:rStyle w:val="Hyperlink"/>
                </w:rPr>
                <w:t>IRS Notice 2020-23</w:t>
              </w:r>
            </w:hyperlink>
            <w:r>
              <w:t>. IRS Notice 2020-23 extends the Form 5500 filing deadline for ERISA-covered welfare plans that have an o</w:t>
            </w:r>
            <w:r>
              <w:t xml:space="preserve">riginal or extended filing deadline </w:t>
            </w:r>
            <w:r w:rsidRPr="00CD4652">
              <w:rPr>
                <w:b/>
              </w:rPr>
              <w:t>on or after April 1, 2020, and before July 15, 2020</w:t>
            </w:r>
            <w:r>
              <w:t xml:space="preserve">. These plans have until </w:t>
            </w:r>
            <w:r w:rsidRPr="00CD4652">
              <w:rPr>
                <w:b/>
              </w:rPr>
              <w:t>July 15, 2020</w:t>
            </w:r>
            <w:r>
              <w:t xml:space="preserve"> to file their Forms 5500. </w:t>
            </w:r>
            <w:r w:rsidR="00D00E8F">
              <w:t xml:space="preserve"> </w:t>
            </w:r>
          </w:p>
        </w:tc>
      </w:tr>
    </w:tbl>
    <w:p w14:paraId="234CF0C1" w14:textId="77777777" w:rsidR="00A357CD" w:rsidRDefault="00041629" w:rsidP="00126C4A">
      <w:pPr>
        <w:spacing w:after="0"/>
        <w:rPr>
          <w:b/>
          <w:noProof/>
          <w:color w:val="FFFFFF" w:themeColor="background1"/>
        </w:rPr>
      </w:pPr>
      <w:r w:rsidRPr="00C84C66">
        <w:rPr>
          <w:b/>
          <w:color w:val="FFFFFF" w:themeColor="background1"/>
        </w:rPr>
        <w:t>enforced.</w:t>
      </w:r>
    </w:p>
    <w:tbl>
      <w:tblPr>
        <w:tblW w:w="10620" w:type="dxa"/>
        <w:tblInd w:w="90"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468"/>
        <w:gridCol w:w="1965"/>
        <w:gridCol w:w="7187"/>
      </w:tblGrid>
      <w:tr w:rsidR="00B05DD2" w14:paraId="3F48D96D" w14:textId="77777777" w:rsidTr="00192BA6">
        <w:tc>
          <w:tcPr>
            <w:tcW w:w="10620" w:type="dxa"/>
            <w:gridSpan w:val="3"/>
            <w:shd w:val="clear" w:color="auto" w:fill="5083C9"/>
          </w:tcPr>
          <w:p w14:paraId="59BCE923" w14:textId="77777777" w:rsidR="00192BA6" w:rsidRPr="001C5FC3" w:rsidRDefault="00041629" w:rsidP="00126C4A">
            <w:pPr>
              <w:pStyle w:val="BodyText"/>
              <w:tabs>
                <w:tab w:val="left" w:pos="1275"/>
              </w:tabs>
              <w:spacing w:before="60" w:after="60"/>
              <w:jc w:val="center"/>
              <w:rPr>
                <w:b/>
                <w:color w:val="FFFFFF"/>
                <w:sz w:val="28"/>
                <w:szCs w:val="28"/>
              </w:rPr>
            </w:pPr>
            <w:r w:rsidRPr="001C5FC3">
              <w:rPr>
                <w:b/>
                <w:color w:val="FFFFFF"/>
                <w:sz w:val="28"/>
                <w:szCs w:val="28"/>
              </w:rPr>
              <w:t>JANUARY</w:t>
            </w:r>
          </w:p>
        </w:tc>
      </w:tr>
      <w:tr w:rsidR="00B05DD2" w14:paraId="797426E4" w14:textId="77777777" w:rsidTr="00192BA6">
        <w:tc>
          <w:tcPr>
            <w:tcW w:w="1468" w:type="dxa"/>
            <w:shd w:val="clear" w:color="auto" w:fill="767171"/>
          </w:tcPr>
          <w:p w14:paraId="68CA1225" w14:textId="77777777" w:rsidR="00192BA6" w:rsidRPr="00894829" w:rsidRDefault="00041629" w:rsidP="00126C4A">
            <w:pPr>
              <w:pStyle w:val="BodyText"/>
              <w:spacing w:before="60" w:after="60"/>
              <w:jc w:val="center"/>
              <w:rPr>
                <w:b/>
                <w:color w:val="FFFFFF"/>
              </w:rPr>
            </w:pPr>
            <w:r w:rsidRPr="00894829">
              <w:rPr>
                <w:b/>
                <w:color w:val="FFFFFF"/>
              </w:rPr>
              <w:t>DEADLINE</w:t>
            </w:r>
          </w:p>
        </w:tc>
        <w:tc>
          <w:tcPr>
            <w:tcW w:w="1965" w:type="dxa"/>
            <w:shd w:val="clear" w:color="auto" w:fill="767171"/>
          </w:tcPr>
          <w:p w14:paraId="2B2716B2" w14:textId="77777777" w:rsidR="00192BA6" w:rsidRPr="00894829" w:rsidRDefault="00041629" w:rsidP="00126C4A">
            <w:pPr>
              <w:pStyle w:val="BodyText"/>
              <w:spacing w:before="60" w:after="60"/>
              <w:jc w:val="center"/>
              <w:rPr>
                <w:b/>
                <w:color w:val="FFFFFF"/>
              </w:rPr>
            </w:pPr>
            <w:r w:rsidRPr="00894829">
              <w:rPr>
                <w:b/>
                <w:color w:val="FFFFFF"/>
              </w:rPr>
              <w:t>REQUIREMENT</w:t>
            </w:r>
          </w:p>
        </w:tc>
        <w:tc>
          <w:tcPr>
            <w:tcW w:w="7187" w:type="dxa"/>
            <w:shd w:val="clear" w:color="auto" w:fill="767171"/>
          </w:tcPr>
          <w:p w14:paraId="159E6ACE" w14:textId="77777777" w:rsidR="00192BA6" w:rsidRPr="00894829" w:rsidRDefault="00041629" w:rsidP="00126C4A">
            <w:pPr>
              <w:pStyle w:val="BodyText"/>
              <w:spacing w:before="60" w:after="60"/>
              <w:jc w:val="center"/>
              <w:rPr>
                <w:b/>
                <w:color w:val="FFFFFF"/>
              </w:rPr>
            </w:pPr>
            <w:r w:rsidRPr="00894829">
              <w:rPr>
                <w:b/>
                <w:color w:val="FFFFFF"/>
              </w:rPr>
              <w:t>DESCRIPTION</w:t>
            </w:r>
          </w:p>
        </w:tc>
      </w:tr>
      <w:tr w:rsidR="00B05DD2" w14:paraId="43103E08" w14:textId="77777777" w:rsidTr="00192BA6">
        <w:tc>
          <w:tcPr>
            <w:tcW w:w="1468" w:type="dxa"/>
            <w:shd w:val="clear" w:color="auto" w:fill="E8EFF8"/>
            <w:vAlign w:val="center"/>
          </w:tcPr>
          <w:p w14:paraId="7804F2A9" w14:textId="77777777" w:rsidR="00192BA6" w:rsidRPr="00192BA6" w:rsidRDefault="00041629" w:rsidP="00126C4A">
            <w:pPr>
              <w:spacing w:before="60" w:after="60"/>
              <w:jc w:val="center"/>
              <w:rPr>
                <w:rFonts w:eastAsia="Times New Roman" w:cs="Arial"/>
                <w:b/>
                <w:bCs/>
                <w:color w:val="5083C9"/>
                <w:sz w:val="24"/>
                <w:szCs w:val="24"/>
              </w:rPr>
            </w:pPr>
            <w:r w:rsidRPr="00192BA6">
              <w:rPr>
                <w:rFonts w:eastAsia="Times New Roman" w:cs="Arial"/>
                <w:b/>
                <w:bCs/>
                <w:color w:val="5083C9"/>
                <w:sz w:val="24"/>
                <w:szCs w:val="24"/>
              </w:rPr>
              <w:t>Jan. 31</w:t>
            </w:r>
          </w:p>
        </w:tc>
        <w:tc>
          <w:tcPr>
            <w:tcW w:w="1965" w:type="dxa"/>
            <w:shd w:val="clear" w:color="auto" w:fill="E8EFF8"/>
            <w:vAlign w:val="center"/>
          </w:tcPr>
          <w:p w14:paraId="70DE24B8" w14:textId="77777777" w:rsidR="00192BA6" w:rsidRPr="00E03E2F" w:rsidRDefault="00041629" w:rsidP="00126C4A">
            <w:pPr>
              <w:spacing w:before="60" w:after="60"/>
              <w:jc w:val="center"/>
              <w:rPr>
                <w:rFonts w:eastAsia="Times New Roman" w:cs="Arial"/>
                <w:b/>
                <w:color w:val="595959"/>
              </w:rPr>
            </w:pPr>
            <w:r w:rsidRPr="00E03E2F">
              <w:rPr>
                <w:rFonts w:eastAsia="Times New Roman" w:cs="Arial"/>
                <w:b/>
                <w:color w:val="595959"/>
              </w:rPr>
              <w:t>Form W-2</w:t>
            </w:r>
          </w:p>
        </w:tc>
        <w:tc>
          <w:tcPr>
            <w:tcW w:w="7187" w:type="dxa"/>
            <w:shd w:val="clear" w:color="auto" w:fill="E8EFF8"/>
          </w:tcPr>
          <w:p w14:paraId="15339345" w14:textId="77777777" w:rsidR="00192BA6" w:rsidRPr="00E03E2F" w:rsidRDefault="00041629" w:rsidP="00126C4A">
            <w:pPr>
              <w:spacing w:before="60" w:after="60"/>
              <w:rPr>
                <w:rFonts w:eastAsia="Times New Roman" w:cs="Arial"/>
                <w:color w:val="595959"/>
              </w:rPr>
            </w:pPr>
            <w:r w:rsidRPr="00E03E2F">
              <w:rPr>
                <w:rFonts w:eastAsia="Times New Roman" w:cs="Arial"/>
                <w:color w:val="595959"/>
              </w:rPr>
              <w:t xml:space="preserve">Deadline for providing </w:t>
            </w:r>
            <w:r w:rsidRPr="00E03E2F">
              <w:rPr>
                <w:rFonts w:eastAsia="Times New Roman" w:cs="Arial"/>
                <w:color w:val="595959"/>
              </w:rPr>
              <w:t>Forms W-2 to empl</w:t>
            </w:r>
            <w:r>
              <w:rPr>
                <w:rFonts w:eastAsia="Times New Roman" w:cs="Arial"/>
                <w:color w:val="595959"/>
              </w:rPr>
              <w:t>oyees. The ACA</w:t>
            </w:r>
            <w:r w:rsidRPr="00E03E2F">
              <w:rPr>
                <w:rFonts w:eastAsia="Times New Roman" w:cs="Arial"/>
                <w:color w:val="595959"/>
              </w:rPr>
              <w:t xml:space="preserve"> requires employers to report the aggregate cost of employer-sponsored group health plan coverage on their employees’ Forms W-2. The purpose is to provide employees with information on how much their health coverage costs. Ce</w:t>
            </w:r>
            <w:r w:rsidRPr="00E03E2F">
              <w:rPr>
                <w:rFonts w:eastAsia="Times New Roman" w:cs="Arial"/>
                <w:color w:val="595959"/>
              </w:rPr>
              <w:t>rtain types of coverage are not required to be reported on Form W-2.</w:t>
            </w:r>
          </w:p>
          <w:p w14:paraId="76A56B3F" w14:textId="77777777" w:rsidR="00192BA6" w:rsidRPr="00E03E2F" w:rsidRDefault="00041629" w:rsidP="00126C4A">
            <w:pPr>
              <w:spacing w:before="60" w:after="60"/>
              <w:rPr>
                <w:rFonts w:eastAsia="Times New Roman" w:cs="Arial"/>
                <w:color w:val="595959"/>
              </w:rPr>
            </w:pPr>
            <w:r w:rsidRPr="00E03E2F">
              <w:rPr>
                <w:rFonts w:eastAsia="Times New Roman" w:cs="Arial"/>
                <w:color w:val="595959"/>
              </w:rPr>
              <w:t xml:space="preserve">This Form W-2 reporting requirement is currently </w:t>
            </w:r>
            <w:r w:rsidRPr="00E03E2F">
              <w:rPr>
                <w:rFonts w:eastAsia="Times New Roman" w:cs="Arial"/>
                <w:b/>
                <w:color w:val="595959"/>
              </w:rPr>
              <w:t>optional for small employers</w:t>
            </w:r>
            <w:r w:rsidRPr="00E03E2F">
              <w:rPr>
                <w:rFonts w:eastAsia="Times New Roman" w:cs="Arial"/>
                <w:color w:val="595959"/>
              </w:rPr>
              <w:t xml:space="preserve"> (those who file fewer than 250 Forms W-2). Employers that file 250 or more Forms W-2 are required to comply w</w:t>
            </w:r>
            <w:r w:rsidRPr="00E03E2F">
              <w:rPr>
                <w:rFonts w:eastAsia="Times New Roman" w:cs="Arial"/>
                <w:color w:val="595959"/>
              </w:rPr>
              <w:t xml:space="preserve">ith the ACA’s reporting requirement. </w:t>
            </w:r>
          </w:p>
        </w:tc>
      </w:tr>
      <w:tr w:rsidR="00B05DD2" w14:paraId="6D31DE55" w14:textId="77777777" w:rsidTr="00192BA6">
        <w:tc>
          <w:tcPr>
            <w:tcW w:w="1468" w:type="dxa"/>
            <w:shd w:val="clear" w:color="auto" w:fill="E8EFF8"/>
            <w:vAlign w:val="center"/>
          </w:tcPr>
          <w:p w14:paraId="61289358" w14:textId="77777777" w:rsidR="00192BA6" w:rsidRPr="00192BA6" w:rsidRDefault="00041629" w:rsidP="00126C4A">
            <w:pPr>
              <w:spacing w:before="60" w:after="60"/>
              <w:jc w:val="center"/>
              <w:rPr>
                <w:rFonts w:eastAsia="Times New Roman" w:cs="Arial"/>
                <w:b/>
                <w:bCs/>
                <w:color w:val="5083C9"/>
                <w:sz w:val="24"/>
                <w:szCs w:val="24"/>
              </w:rPr>
            </w:pPr>
            <w:r w:rsidRPr="00192BA6">
              <w:rPr>
                <w:rFonts w:eastAsia="Times New Roman" w:cs="Arial"/>
                <w:b/>
                <w:bCs/>
                <w:color w:val="5083C9"/>
                <w:sz w:val="24"/>
                <w:szCs w:val="24"/>
              </w:rPr>
              <w:t>Jan. 31</w:t>
            </w:r>
          </w:p>
          <w:p w14:paraId="6CA97A06" w14:textId="77777777" w:rsidR="00192BA6" w:rsidRPr="00192BA6" w:rsidRDefault="00192BA6" w:rsidP="00126C4A">
            <w:pPr>
              <w:spacing w:before="60" w:after="60"/>
              <w:jc w:val="center"/>
              <w:rPr>
                <w:rFonts w:eastAsia="Times New Roman" w:cs="Arial"/>
                <w:b/>
                <w:bCs/>
                <w:color w:val="5083C9"/>
                <w:sz w:val="24"/>
                <w:szCs w:val="24"/>
              </w:rPr>
            </w:pPr>
          </w:p>
        </w:tc>
        <w:tc>
          <w:tcPr>
            <w:tcW w:w="1965" w:type="dxa"/>
            <w:shd w:val="clear" w:color="auto" w:fill="E8EFF8"/>
            <w:vAlign w:val="center"/>
          </w:tcPr>
          <w:p w14:paraId="3CBB16F7" w14:textId="77777777" w:rsidR="00192BA6" w:rsidRPr="009F2E5D" w:rsidRDefault="00041629" w:rsidP="00126C4A">
            <w:pPr>
              <w:spacing w:before="60" w:after="60"/>
              <w:jc w:val="center"/>
              <w:rPr>
                <w:rFonts w:eastAsia="Times New Roman" w:cs="Arial"/>
                <w:b/>
                <w:color w:val="595959"/>
              </w:rPr>
            </w:pPr>
            <w:r w:rsidRPr="009F2E5D">
              <w:rPr>
                <w:rFonts w:eastAsia="Times New Roman" w:cs="Arial"/>
                <w:b/>
                <w:color w:val="595959"/>
              </w:rPr>
              <w:t>Form 1095-C or Form 1095-B—Annual Statement to Individuals</w:t>
            </w:r>
          </w:p>
        </w:tc>
        <w:tc>
          <w:tcPr>
            <w:tcW w:w="7187" w:type="dxa"/>
            <w:shd w:val="clear" w:color="auto" w:fill="E8EFF8"/>
          </w:tcPr>
          <w:p w14:paraId="706CD306" w14:textId="77777777" w:rsidR="00192BA6" w:rsidRPr="009F2E5D" w:rsidRDefault="00041629" w:rsidP="00126C4A">
            <w:pPr>
              <w:spacing w:before="60" w:after="60"/>
              <w:rPr>
                <w:rFonts w:eastAsia="Times New Roman" w:cs="Arial"/>
                <w:color w:val="595959"/>
              </w:rPr>
            </w:pPr>
            <w:r w:rsidRPr="009F2E5D">
              <w:rPr>
                <w:rFonts w:eastAsia="Times New Roman" w:cs="Arial"/>
                <w:color w:val="595959"/>
              </w:rPr>
              <w:t>Applicable large employers (ALEs) subject to the ACA’s employer shared responsibility rules mu</w:t>
            </w:r>
            <w:r>
              <w:rPr>
                <w:rFonts w:eastAsia="Times New Roman" w:cs="Arial"/>
                <w:color w:val="595959"/>
              </w:rPr>
              <w:t>st furnish Form 1095-C (Section 6056</w:t>
            </w:r>
            <w:r w:rsidRPr="009F2E5D">
              <w:rPr>
                <w:rFonts w:eastAsia="Times New Roman" w:cs="Arial"/>
                <w:color w:val="595959"/>
              </w:rPr>
              <w:t xml:space="preserve"> statements) annually to their full-time employees. </w:t>
            </w:r>
            <w:r>
              <w:rPr>
                <w:rFonts w:eastAsia="Times New Roman" w:cs="Arial"/>
                <w:color w:val="595959"/>
              </w:rPr>
              <w:t xml:space="preserve">Employers with self-insured health plans that are not ALEs must </w:t>
            </w:r>
            <w:r w:rsidRPr="009F2E5D">
              <w:rPr>
                <w:rFonts w:eastAsia="Times New Roman" w:cs="Arial"/>
                <w:color w:val="595959"/>
              </w:rPr>
              <w:t>furni</w:t>
            </w:r>
            <w:r>
              <w:rPr>
                <w:rFonts w:eastAsia="Times New Roman" w:cs="Arial"/>
                <w:color w:val="595959"/>
              </w:rPr>
              <w:t xml:space="preserve">sh Form 1095-B (Section 6055 </w:t>
            </w:r>
            <w:r w:rsidRPr="009F2E5D">
              <w:rPr>
                <w:rFonts w:eastAsia="Times New Roman" w:cs="Arial"/>
                <w:color w:val="595959"/>
              </w:rPr>
              <w:t>statements)</w:t>
            </w:r>
            <w:r>
              <w:rPr>
                <w:rFonts w:eastAsia="Times New Roman" w:cs="Arial"/>
                <w:color w:val="595959"/>
              </w:rPr>
              <w:t xml:space="preserve"> annually to covered employees. </w:t>
            </w:r>
          </w:p>
          <w:p w14:paraId="19E89075" w14:textId="77777777" w:rsidR="00192BA6" w:rsidRDefault="00041629" w:rsidP="00126C4A">
            <w:pPr>
              <w:spacing w:before="60" w:after="60"/>
              <w:rPr>
                <w:rFonts w:eastAsia="Times New Roman" w:cs="Arial"/>
                <w:color w:val="595959"/>
              </w:rPr>
            </w:pPr>
            <w:r w:rsidRPr="009F2E5D">
              <w:rPr>
                <w:rFonts w:eastAsia="Times New Roman" w:cs="Arial"/>
                <w:color w:val="595959"/>
              </w:rPr>
              <w:t xml:space="preserve">The Forms 1095-B and 1095-C are due on or before Jan. 31 of the year immediately following the calendar year to which the statements relate. Extensions may be available in certain limited circumstances. However, an </w:t>
            </w:r>
            <w:r w:rsidRPr="009F2E5D">
              <w:rPr>
                <w:rFonts w:eastAsia="Times New Roman" w:cs="Arial"/>
                <w:color w:val="595959"/>
              </w:rPr>
              <w:lastRenderedPageBreak/>
              <w:t>alternate deadline generally is not avail</w:t>
            </w:r>
            <w:r w:rsidRPr="009F2E5D">
              <w:rPr>
                <w:rFonts w:eastAsia="Times New Roman" w:cs="Arial"/>
                <w:color w:val="595959"/>
              </w:rPr>
              <w:t>able for ALEs that s</w:t>
            </w:r>
            <w:r>
              <w:rPr>
                <w:rFonts w:eastAsia="Times New Roman" w:cs="Arial"/>
                <w:color w:val="595959"/>
              </w:rPr>
              <w:t xml:space="preserve">ponsor non-calendar year plans. </w:t>
            </w:r>
          </w:p>
          <w:p w14:paraId="09FA94FA" w14:textId="77777777" w:rsidR="00192BA6" w:rsidRPr="00AD1C3C" w:rsidRDefault="00041629" w:rsidP="00126C4A">
            <w:pPr>
              <w:spacing w:before="60" w:after="60"/>
              <w:rPr>
                <w:rFonts w:eastAsia="Times New Roman" w:cs="Arial"/>
                <w:i/>
                <w:color w:val="595959"/>
              </w:rPr>
            </w:pPr>
            <w:r w:rsidRPr="00AD1C3C">
              <w:rPr>
                <w:rFonts w:eastAsia="Times New Roman" w:cs="Arial"/>
                <w:i/>
                <w:color w:val="595959"/>
              </w:rPr>
              <w:t>Update: The IRS extended the deadline for furnishing the 201</w:t>
            </w:r>
            <w:r>
              <w:rPr>
                <w:rFonts w:eastAsia="Times New Roman" w:cs="Arial"/>
                <w:i/>
                <w:color w:val="595959"/>
              </w:rPr>
              <w:t>9</w:t>
            </w:r>
            <w:r w:rsidRPr="00AD1C3C">
              <w:rPr>
                <w:rFonts w:eastAsia="Times New Roman" w:cs="Arial"/>
                <w:i/>
                <w:color w:val="595959"/>
              </w:rPr>
              <w:t xml:space="preserve"> employee statements, from Jan. 31, 20</w:t>
            </w:r>
            <w:r>
              <w:rPr>
                <w:rFonts w:eastAsia="Times New Roman" w:cs="Arial"/>
                <w:i/>
                <w:color w:val="595959"/>
              </w:rPr>
              <w:t>20</w:t>
            </w:r>
            <w:r w:rsidRPr="00AD1C3C">
              <w:rPr>
                <w:rFonts w:eastAsia="Times New Roman" w:cs="Arial"/>
                <w:i/>
                <w:color w:val="595959"/>
              </w:rPr>
              <w:t xml:space="preserve">, to March </w:t>
            </w:r>
            <w:r>
              <w:rPr>
                <w:rFonts w:eastAsia="Times New Roman" w:cs="Arial"/>
                <w:i/>
                <w:color w:val="595959"/>
              </w:rPr>
              <w:t>2</w:t>
            </w:r>
            <w:r w:rsidRPr="00AD1C3C">
              <w:rPr>
                <w:rFonts w:eastAsia="Times New Roman" w:cs="Arial"/>
                <w:i/>
                <w:color w:val="595959"/>
              </w:rPr>
              <w:t>, 20</w:t>
            </w:r>
            <w:r>
              <w:rPr>
                <w:rFonts w:eastAsia="Times New Roman" w:cs="Arial"/>
                <w:i/>
                <w:color w:val="595959"/>
              </w:rPr>
              <w:t>20</w:t>
            </w:r>
            <w:r w:rsidRPr="00AD1C3C">
              <w:rPr>
                <w:rFonts w:eastAsia="Times New Roman" w:cs="Arial"/>
                <w:i/>
                <w:color w:val="595959"/>
              </w:rPr>
              <w:t xml:space="preserve">.   </w:t>
            </w:r>
          </w:p>
        </w:tc>
      </w:tr>
    </w:tbl>
    <w:p w14:paraId="2D2B66D4" w14:textId="77777777" w:rsidR="00192BA6" w:rsidRDefault="00192BA6" w:rsidP="00C84C66">
      <w:pPr>
        <w:pStyle w:val="BodyText"/>
      </w:pPr>
    </w:p>
    <w:tbl>
      <w:tblPr>
        <w:tblW w:w="10620" w:type="dxa"/>
        <w:tblInd w:w="90"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628"/>
        <w:gridCol w:w="1961"/>
        <w:gridCol w:w="7031"/>
      </w:tblGrid>
      <w:tr w:rsidR="00B05DD2" w14:paraId="347A67C4" w14:textId="77777777" w:rsidTr="00192BA6">
        <w:tc>
          <w:tcPr>
            <w:tcW w:w="10620" w:type="dxa"/>
            <w:gridSpan w:val="3"/>
            <w:shd w:val="clear" w:color="auto" w:fill="5083C9"/>
          </w:tcPr>
          <w:p w14:paraId="7514A7E8" w14:textId="77777777" w:rsidR="00192BA6" w:rsidRPr="009F2E5D" w:rsidRDefault="00041629" w:rsidP="00126C4A">
            <w:pPr>
              <w:pStyle w:val="BodyText"/>
              <w:tabs>
                <w:tab w:val="center" w:pos="4680"/>
                <w:tab w:val="left" w:pos="8025"/>
              </w:tabs>
              <w:spacing w:before="60" w:after="60"/>
              <w:jc w:val="left"/>
              <w:rPr>
                <w:b/>
                <w:color w:val="FFFFFF"/>
                <w:sz w:val="28"/>
                <w:szCs w:val="28"/>
              </w:rPr>
            </w:pPr>
            <w:r w:rsidRPr="007768B0">
              <w:rPr>
                <w:b/>
                <w:color w:val="FFFFFF"/>
              </w:rPr>
              <w:tab/>
            </w:r>
            <w:r w:rsidRPr="009F2E5D">
              <w:rPr>
                <w:b/>
                <w:color w:val="FFFFFF"/>
                <w:sz w:val="28"/>
                <w:szCs w:val="28"/>
              </w:rPr>
              <w:t>FEBRUARY</w:t>
            </w:r>
            <w:r w:rsidRPr="009F2E5D">
              <w:rPr>
                <w:b/>
                <w:color w:val="FFFFFF"/>
                <w:sz w:val="28"/>
                <w:szCs w:val="28"/>
              </w:rPr>
              <w:tab/>
            </w:r>
          </w:p>
        </w:tc>
      </w:tr>
      <w:tr w:rsidR="00B05DD2" w14:paraId="5DED8FED" w14:textId="77777777" w:rsidTr="00192BA6">
        <w:tc>
          <w:tcPr>
            <w:tcW w:w="1521" w:type="dxa"/>
            <w:shd w:val="clear" w:color="auto" w:fill="767171"/>
          </w:tcPr>
          <w:p w14:paraId="56EBA70A" w14:textId="77777777" w:rsidR="00192BA6" w:rsidRPr="00894829" w:rsidRDefault="00041629" w:rsidP="00126C4A">
            <w:pPr>
              <w:pStyle w:val="BodyText"/>
              <w:spacing w:before="60" w:after="60"/>
              <w:jc w:val="center"/>
              <w:rPr>
                <w:b/>
                <w:color w:val="FFFFFF"/>
              </w:rPr>
            </w:pPr>
            <w:r w:rsidRPr="00894829">
              <w:rPr>
                <w:b/>
                <w:color w:val="FFFFFF"/>
              </w:rPr>
              <w:t>DEADLINE</w:t>
            </w:r>
          </w:p>
        </w:tc>
        <w:tc>
          <w:tcPr>
            <w:tcW w:w="1962" w:type="dxa"/>
            <w:shd w:val="clear" w:color="auto" w:fill="767171"/>
          </w:tcPr>
          <w:p w14:paraId="2974067F" w14:textId="77777777" w:rsidR="00192BA6" w:rsidRPr="00894829" w:rsidRDefault="00041629" w:rsidP="00126C4A">
            <w:pPr>
              <w:pStyle w:val="BodyText"/>
              <w:spacing w:before="60" w:after="60"/>
              <w:jc w:val="center"/>
              <w:rPr>
                <w:b/>
                <w:color w:val="FFFFFF"/>
              </w:rPr>
            </w:pPr>
            <w:r w:rsidRPr="00894829">
              <w:rPr>
                <w:b/>
                <w:color w:val="FFFFFF"/>
              </w:rPr>
              <w:t>REQUIREMENT</w:t>
            </w:r>
          </w:p>
        </w:tc>
        <w:tc>
          <w:tcPr>
            <w:tcW w:w="7137" w:type="dxa"/>
            <w:shd w:val="clear" w:color="auto" w:fill="767171"/>
          </w:tcPr>
          <w:p w14:paraId="632A0423" w14:textId="77777777" w:rsidR="00192BA6" w:rsidRPr="00894829" w:rsidRDefault="00041629" w:rsidP="00126C4A">
            <w:pPr>
              <w:pStyle w:val="BodyText"/>
              <w:spacing w:before="60" w:after="60"/>
              <w:jc w:val="center"/>
              <w:rPr>
                <w:b/>
                <w:color w:val="FFFFFF"/>
              </w:rPr>
            </w:pPr>
            <w:r w:rsidRPr="00894829">
              <w:rPr>
                <w:b/>
                <w:color w:val="FFFFFF"/>
              </w:rPr>
              <w:t>DESCRIPTION</w:t>
            </w:r>
          </w:p>
        </w:tc>
      </w:tr>
      <w:tr w:rsidR="00B05DD2" w14:paraId="23A36483" w14:textId="77777777" w:rsidTr="00192BA6">
        <w:tc>
          <w:tcPr>
            <w:tcW w:w="1521" w:type="dxa"/>
            <w:shd w:val="clear" w:color="auto" w:fill="E8EFF8"/>
            <w:vAlign w:val="center"/>
          </w:tcPr>
          <w:p w14:paraId="7DB74F6F" w14:textId="77777777" w:rsidR="00192BA6" w:rsidRPr="00192BA6" w:rsidRDefault="00041629" w:rsidP="00126C4A">
            <w:pPr>
              <w:spacing w:before="60" w:after="60"/>
              <w:jc w:val="center"/>
              <w:rPr>
                <w:rFonts w:eastAsia="Times New Roman" w:cs="Arial"/>
                <w:b/>
                <w:bCs/>
                <w:color w:val="5083C9"/>
                <w:sz w:val="24"/>
                <w:szCs w:val="24"/>
              </w:rPr>
            </w:pPr>
            <w:r w:rsidRPr="00192BA6">
              <w:rPr>
                <w:rFonts w:eastAsia="Times New Roman" w:cs="Arial"/>
                <w:b/>
                <w:bCs/>
                <w:color w:val="5083C9"/>
                <w:sz w:val="24"/>
                <w:szCs w:val="24"/>
              </w:rPr>
              <w:t>Feb. 28</w:t>
            </w:r>
          </w:p>
          <w:p w14:paraId="7C6F5B71" w14:textId="77777777" w:rsidR="00192BA6" w:rsidRPr="00192BA6" w:rsidRDefault="00041629" w:rsidP="00126C4A">
            <w:pPr>
              <w:spacing w:before="60" w:after="60"/>
              <w:jc w:val="center"/>
              <w:rPr>
                <w:rFonts w:eastAsia="Times New Roman" w:cs="Arial"/>
                <w:b/>
                <w:bCs/>
                <w:color w:val="5083C9"/>
                <w:sz w:val="24"/>
                <w:szCs w:val="24"/>
              </w:rPr>
            </w:pPr>
            <w:r w:rsidRPr="00192BA6">
              <w:rPr>
                <w:rFonts w:eastAsia="Times New Roman" w:cs="Arial"/>
                <w:b/>
                <w:bCs/>
                <w:color w:val="5083C9"/>
                <w:sz w:val="24"/>
                <w:szCs w:val="24"/>
              </w:rPr>
              <w:t xml:space="preserve">(March 31, if </w:t>
            </w:r>
            <w:r w:rsidRPr="00192BA6">
              <w:rPr>
                <w:rFonts w:eastAsia="Times New Roman" w:cs="Arial"/>
                <w:b/>
                <w:bCs/>
                <w:color w:val="5083C9"/>
                <w:sz w:val="24"/>
                <w:szCs w:val="24"/>
              </w:rPr>
              <w:t>filing electronically)</w:t>
            </w:r>
          </w:p>
          <w:p w14:paraId="571403A6" w14:textId="77777777" w:rsidR="00192BA6" w:rsidRPr="009F2E5D" w:rsidRDefault="00192BA6" w:rsidP="00126C4A">
            <w:pPr>
              <w:spacing w:before="60" w:after="60"/>
              <w:jc w:val="center"/>
              <w:rPr>
                <w:rFonts w:eastAsia="Times New Roman" w:cs="Arial"/>
                <w:b/>
                <w:bCs/>
                <w:color w:val="595959"/>
              </w:rPr>
            </w:pPr>
          </w:p>
        </w:tc>
        <w:tc>
          <w:tcPr>
            <w:tcW w:w="1962" w:type="dxa"/>
            <w:shd w:val="clear" w:color="auto" w:fill="E8EFF8"/>
            <w:vAlign w:val="center"/>
          </w:tcPr>
          <w:p w14:paraId="35DCCC0D" w14:textId="77777777" w:rsidR="00192BA6" w:rsidRPr="009F2E5D" w:rsidRDefault="00041629" w:rsidP="00126C4A">
            <w:pPr>
              <w:spacing w:before="60" w:after="60"/>
              <w:jc w:val="center"/>
              <w:rPr>
                <w:rFonts w:eastAsia="Times New Roman" w:cs="Arial"/>
                <w:b/>
                <w:color w:val="595959"/>
              </w:rPr>
            </w:pPr>
            <w:r w:rsidRPr="009F2E5D">
              <w:rPr>
                <w:rFonts w:eastAsia="Times New Roman" w:cs="Arial"/>
                <w:b/>
                <w:color w:val="595959"/>
              </w:rPr>
              <w:t>Section 6055 and 6056 Reporting</w:t>
            </w:r>
          </w:p>
        </w:tc>
        <w:tc>
          <w:tcPr>
            <w:tcW w:w="7137" w:type="dxa"/>
            <w:shd w:val="clear" w:color="auto" w:fill="E8EFF8"/>
          </w:tcPr>
          <w:p w14:paraId="728CD2E8" w14:textId="77777777" w:rsidR="00192BA6" w:rsidRPr="009F2E5D" w:rsidRDefault="00041629" w:rsidP="00126C4A">
            <w:pPr>
              <w:spacing w:before="60" w:after="60"/>
              <w:rPr>
                <w:rFonts w:eastAsia="Times New Roman" w:cs="Arial"/>
                <w:color w:val="595959"/>
              </w:rPr>
            </w:pPr>
            <w:r w:rsidRPr="009F2E5D">
              <w:rPr>
                <w:rFonts w:eastAsia="Times New Roman" w:cs="Arial"/>
                <w:color w:val="595959"/>
              </w:rPr>
              <w:t>Under Section 6056, ALEs subject to the ACA’s employer shared responsibility rules are required to report information to the IRS about the health coverage they offer (or do not offer) to their full-ti</w:t>
            </w:r>
            <w:r w:rsidRPr="009F2E5D">
              <w:rPr>
                <w:rFonts w:eastAsia="Times New Roman" w:cs="Arial"/>
                <w:color w:val="595959"/>
              </w:rPr>
              <w:t>me employees. ALEs must file Form 1094-C and Form 1095-C with the IRS annually.</w:t>
            </w:r>
          </w:p>
          <w:p w14:paraId="1F83F35D" w14:textId="77777777" w:rsidR="00192BA6" w:rsidRPr="009F2E5D" w:rsidRDefault="00041629" w:rsidP="00126C4A">
            <w:pPr>
              <w:spacing w:before="60" w:after="60"/>
              <w:rPr>
                <w:rFonts w:eastAsia="Times New Roman" w:cs="Arial"/>
                <w:color w:val="595959"/>
              </w:rPr>
            </w:pPr>
            <w:r w:rsidRPr="009F2E5D">
              <w:rPr>
                <w:rFonts w:eastAsia="Times New Roman" w:cs="Arial"/>
                <w:color w:val="595959"/>
              </w:rPr>
              <w:t>Under Section 6055, self-insured plan sponsors are required to report information about the health coverage they provided during the year. Self-insured plan sponsors must gener</w:t>
            </w:r>
            <w:r w:rsidRPr="009F2E5D">
              <w:rPr>
                <w:rFonts w:eastAsia="Times New Roman" w:cs="Arial"/>
                <w:color w:val="595959"/>
              </w:rPr>
              <w:t>ally file Form 1094-B and Form 1095-B with the IRS annually.</w:t>
            </w:r>
          </w:p>
          <w:p w14:paraId="241BEB9D" w14:textId="77777777" w:rsidR="00192BA6" w:rsidRPr="009F2E5D" w:rsidRDefault="00041629" w:rsidP="00126C4A">
            <w:pPr>
              <w:spacing w:before="60" w:after="60"/>
              <w:rPr>
                <w:rFonts w:eastAsia="Times New Roman" w:cs="Arial"/>
                <w:color w:val="595959"/>
              </w:rPr>
            </w:pPr>
            <w:r w:rsidRPr="009F2E5D">
              <w:rPr>
                <w:rFonts w:eastAsia="Times New Roman" w:cs="Arial"/>
                <w:color w:val="595959"/>
              </w:rPr>
              <w:t>ALEs that sponsor self-insured plans are required to report information to the IRS under Section 6055 about health coverage provided, as well as information under Section 6056 about offers of hea</w:t>
            </w:r>
            <w:r w:rsidRPr="009F2E5D">
              <w:rPr>
                <w:rFonts w:eastAsia="Times New Roman" w:cs="Arial"/>
                <w:color w:val="595959"/>
              </w:rPr>
              <w:t>lth coverage. ALEs that sponsor self-insured plans generally use a combined reporting method on Form 1094-C and Form 1095-C to report information under both Sections 6055 and 6056.</w:t>
            </w:r>
          </w:p>
          <w:p w14:paraId="5E2A9BAF" w14:textId="77777777" w:rsidR="00192BA6" w:rsidRPr="009F2E5D" w:rsidRDefault="00041629" w:rsidP="00126C4A">
            <w:pPr>
              <w:spacing w:before="60" w:after="60"/>
              <w:rPr>
                <w:rFonts w:eastAsia="Times New Roman" w:cs="Arial"/>
                <w:color w:val="595959"/>
              </w:rPr>
            </w:pPr>
            <w:r w:rsidRPr="009F2E5D">
              <w:rPr>
                <w:rFonts w:eastAsia="Times New Roman" w:cs="Arial"/>
                <w:color w:val="595959"/>
              </w:rPr>
              <w:t>All forms must be filed with the IRS annually, no later than Feb. 28 (March</w:t>
            </w:r>
            <w:r w:rsidRPr="009F2E5D">
              <w:rPr>
                <w:rFonts w:eastAsia="Times New Roman" w:cs="Arial"/>
                <w:color w:val="595959"/>
              </w:rPr>
              <w:t xml:space="preserve"> 31, if filed electronically) of the year following the calendar year to which the return relates. Reporting entities that are filing 250 or more returns must file electronically. There is no alternate filing date for employers with non-calendar year plans</w:t>
            </w:r>
            <w:r w:rsidRPr="009F2E5D">
              <w:rPr>
                <w:rFonts w:eastAsia="Times New Roman" w:cs="Arial"/>
                <w:color w:val="595959"/>
              </w:rPr>
              <w:t>.</w:t>
            </w:r>
          </w:p>
        </w:tc>
      </w:tr>
    </w:tbl>
    <w:p w14:paraId="4E53CA8F" w14:textId="77777777" w:rsidR="00192BA6" w:rsidRDefault="00192BA6" w:rsidP="00192BA6">
      <w:pPr>
        <w:pStyle w:val="BodyText"/>
        <w:jc w:val="center"/>
      </w:pPr>
    </w:p>
    <w:tbl>
      <w:tblPr>
        <w:tblW w:w="10530" w:type="dxa"/>
        <w:tblInd w:w="180"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470"/>
        <w:gridCol w:w="2059"/>
        <w:gridCol w:w="7001"/>
      </w:tblGrid>
      <w:tr w:rsidR="00B05DD2" w14:paraId="1EF7BD5A" w14:textId="77777777" w:rsidTr="00192BA6">
        <w:tc>
          <w:tcPr>
            <w:tcW w:w="10530" w:type="dxa"/>
            <w:gridSpan w:val="3"/>
            <w:shd w:val="clear" w:color="auto" w:fill="5083C9"/>
            <w:vAlign w:val="center"/>
          </w:tcPr>
          <w:p w14:paraId="7F8EA909" w14:textId="77777777" w:rsidR="00192BA6" w:rsidRPr="009F2E5D" w:rsidRDefault="00041629" w:rsidP="00126C4A">
            <w:pPr>
              <w:pStyle w:val="BodyText"/>
              <w:spacing w:before="60" w:after="60"/>
              <w:jc w:val="center"/>
              <w:rPr>
                <w:b/>
                <w:color w:val="FFFFFF"/>
                <w:sz w:val="28"/>
                <w:szCs w:val="28"/>
              </w:rPr>
            </w:pPr>
            <w:r w:rsidRPr="009F2E5D">
              <w:rPr>
                <w:b/>
                <w:color w:val="FFFFFF"/>
                <w:sz w:val="28"/>
                <w:szCs w:val="28"/>
              </w:rPr>
              <w:t>MARCH</w:t>
            </w:r>
          </w:p>
        </w:tc>
      </w:tr>
      <w:tr w:rsidR="00B05DD2" w14:paraId="166CDFF3" w14:textId="77777777" w:rsidTr="00192BA6">
        <w:tc>
          <w:tcPr>
            <w:tcW w:w="1470" w:type="dxa"/>
            <w:shd w:val="clear" w:color="auto" w:fill="767171"/>
            <w:vAlign w:val="center"/>
          </w:tcPr>
          <w:p w14:paraId="2127DB92" w14:textId="77777777" w:rsidR="00192BA6" w:rsidRPr="00894829" w:rsidRDefault="00041629" w:rsidP="00126C4A">
            <w:pPr>
              <w:pStyle w:val="BodyText"/>
              <w:spacing w:before="60" w:after="60"/>
              <w:jc w:val="center"/>
              <w:rPr>
                <w:b/>
                <w:color w:val="FFFFFF"/>
              </w:rPr>
            </w:pPr>
            <w:r w:rsidRPr="00894829">
              <w:rPr>
                <w:b/>
                <w:color w:val="FFFFFF"/>
              </w:rPr>
              <w:t>DEADLINE</w:t>
            </w:r>
          </w:p>
        </w:tc>
        <w:tc>
          <w:tcPr>
            <w:tcW w:w="2059" w:type="dxa"/>
            <w:shd w:val="clear" w:color="auto" w:fill="767171"/>
            <w:vAlign w:val="center"/>
          </w:tcPr>
          <w:p w14:paraId="111F3A85" w14:textId="77777777" w:rsidR="00192BA6" w:rsidRPr="00894829" w:rsidRDefault="00041629" w:rsidP="00126C4A">
            <w:pPr>
              <w:pStyle w:val="BodyText"/>
              <w:spacing w:before="60" w:after="60"/>
              <w:jc w:val="center"/>
              <w:rPr>
                <w:b/>
                <w:color w:val="FFFFFF"/>
              </w:rPr>
            </w:pPr>
            <w:r w:rsidRPr="00894829">
              <w:rPr>
                <w:b/>
                <w:color w:val="FFFFFF"/>
              </w:rPr>
              <w:t>REQUIREMENT</w:t>
            </w:r>
          </w:p>
        </w:tc>
        <w:tc>
          <w:tcPr>
            <w:tcW w:w="7001" w:type="dxa"/>
            <w:shd w:val="clear" w:color="auto" w:fill="767171"/>
            <w:vAlign w:val="center"/>
          </w:tcPr>
          <w:p w14:paraId="7614C8EB" w14:textId="77777777" w:rsidR="00192BA6" w:rsidRPr="00894829" w:rsidRDefault="00041629" w:rsidP="00126C4A">
            <w:pPr>
              <w:pStyle w:val="BodyText"/>
              <w:spacing w:before="60" w:after="60"/>
              <w:jc w:val="center"/>
              <w:rPr>
                <w:b/>
                <w:color w:val="FFFFFF"/>
              </w:rPr>
            </w:pPr>
            <w:r w:rsidRPr="00894829">
              <w:rPr>
                <w:b/>
                <w:color w:val="FFFFFF"/>
              </w:rPr>
              <w:t>DESCRIPTION</w:t>
            </w:r>
          </w:p>
        </w:tc>
      </w:tr>
      <w:tr w:rsidR="00B05DD2" w14:paraId="6612E4DC" w14:textId="77777777" w:rsidTr="00192BA6">
        <w:tc>
          <w:tcPr>
            <w:tcW w:w="1470" w:type="dxa"/>
            <w:shd w:val="clear" w:color="auto" w:fill="E8EFF8"/>
            <w:vAlign w:val="center"/>
          </w:tcPr>
          <w:p w14:paraId="69D83B6D" w14:textId="77777777" w:rsidR="00192BA6" w:rsidRPr="00192BA6" w:rsidRDefault="00041629" w:rsidP="00126C4A">
            <w:pPr>
              <w:spacing w:before="60" w:after="60"/>
              <w:jc w:val="center"/>
              <w:rPr>
                <w:rFonts w:eastAsia="Times New Roman" w:cs="Arial"/>
                <w:b/>
                <w:bCs/>
                <w:color w:val="4884A2"/>
                <w:sz w:val="24"/>
                <w:szCs w:val="24"/>
              </w:rPr>
            </w:pPr>
            <w:r w:rsidRPr="00192BA6">
              <w:rPr>
                <w:rFonts w:eastAsia="Times New Roman" w:cs="Arial"/>
                <w:b/>
                <w:bCs/>
                <w:color w:val="5083C9"/>
                <w:sz w:val="24"/>
                <w:szCs w:val="24"/>
              </w:rPr>
              <w:t>March 1 (calendar year plans)</w:t>
            </w:r>
          </w:p>
        </w:tc>
        <w:tc>
          <w:tcPr>
            <w:tcW w:w="2059" w:type="dxa"/>
            <w:shd w:val="clear" w:color="auto" w:fill="E8EFF8"/>
            <w:vAlign w:val="center"/>
          </w:tcPr>
          <w:p w14:paraId="276CAFBF" w14:textId="77777777" w:rsidR="00192BA6" w:rsidRPr="009F2E5D" w:rsidRDefault="00041629" w:rsidP="00126C4A">
            <w:pPr>
              <w:spacing w:before="60" w:after="60"/>
              <w:jc w:val="center"/>
              <w:rPr>
                <w:rFonts w:eastAsia="Times New Roman" w:cs="Arial"/>
                <w:b/>
                <w:color w:val="595959"/>
              </w:rPr>
            </w:pPr>
            <w:r w:rsidRPr="009F2E5D">
              <w:rPr>
                <w:rFonts w:eastAsia="Times New Roman" w:cs="Arial"/>
                <w:b/>
                <w:color w:val="595959"/>
              </w:rPr>
              <w:t>Medicare Part D Disclosure to CMS</w:t>
            </w:r>
          </w:p>
        </w:tc>
        <w:tc>
          <w:tcPr>
            <w:tcW w:w="7001" w:type="dxa"/>
            <w:shd w:val="clear" w:color="auto" w:fill="E8EFF8"/>
          </w:tcPr>
          <w:p w14:paraId="0F9F027D" w14:textId="77777777" w:rsidR="00192BA6" w:rsidRPr="009F2E5D" w:rsidRDefault="00041629" w:rsidP="00126C4A">
            <w:pPr>
              <w:spacing w:before="60" w:after="60"/>
              <w:rPr>
                <w:rFonts w:eastAsia="Times New Roman" w:cs="Arial"/>
                <w:color w:val="595959"/>
              </w:rPr>
            </w:pPr>
            <w:r w:rsidRPr="009F2E5D">
              <w:rPr>
                <w:rFonts w:eastAsia="Times New Roman" w:cs="Arial"/>
                <w:color w:val="595959"/>
              </w:rPr>
              <w:t>Group health plan sponsors that provide prescri</w:t>
            </w:r>
            <w:r>
              <w:rPr>
                <w:rFonts w:eastAsia="Times New Roman" w:cs="Arial"/>
                <w:color w:val="595959"/>
              </w:rPr>
              <w:t xml:space="preserve">ption drug coverage to Medicare Part D </w:t>
            </w:r>
            <w:r w:rsidRPr="009F2E5D">
              <w:rPr>
                <w:rFonts w:eastAsia="Times New Roman" w:cs="Arial"/>
                <w:color w:val="595959"/>
              </w:rPr>
              <w:t xml:space="preserve">eligible individuals must disclose to the Centers for </w:t>
            </w:r>
            <w:r w:rsidRPr="009F2E5D">
              <w:rPr>
                <w:rFonts w:eastAsia="Times New Roman" w:cs="Arial"/>
                <w:color w:val="595959"/>
              </w:rPr>
              <w:t>Medicare &amp; Medicaid Services (CMS) whether prescription drug coverage is creditable or not. In general, a plan’s prescription drug coverage is considered creditable if its actuarial value equals or exceeds the actuarial value of the Medicare Part D prescri</w:t>
            </w:r>
            <w:r w:rsidRPr="009F2E5D">
              <w:rPr>
                <w:rFonts w:eastAsia="Times New Roman" w:cs="Arial"/>
                <w:color w:val="595959"/>
              </w:rPr>
              <w:t>ption drug coverage. Disclosure is due:</w:t>
            </w:r>
          </w:p>
          <w:p w14:paraId="622F2F8E" w14:textId="77777777" w:rsidR="00192BA6" w:rsidRPr="009F2E5D" w:rsidRDefault="00041629" w:rsidP="00126C4A">
            <w:pPr>
              <w:pStyle w:val="Checkbox"/>
              <w:spacing w:before="60"/>
            </w:pPr>
            <w:r w:rsidRPr="009F2E5D">
              <w:lastRenderedPageBreak/>
              <w:t>Within 60 days after the beginning of each plan year;</w:t>
            </w:r>
          </w:p>
          <w:p w14:paraId="474032A0" w14:textId="77777777" w:rsidR="00192BA6" w:rsidRPr="009F2E5D" w:rsidRDefault="00041629" w:rsidP="00126C4A">
            <w:pPr>
              <w:pStyle w:val="Checkbox"/>
              <w:spacing w:before="60"/>
            </w:pPr>
            <w:r w:rsidRPr="009F2E5D">
              <w:t>Within 30 days after the termination of a plan’s prescription drug coverage; and</w:t>
            </w:r>
          </w:p>
          <w:p w14:paraId="04E30E61" w14:textId="77777777" w:rsidR="00192BA6" w:rsidRPr="009F2E5D" w:rsidRDefault="00041629" w:rsidP="00126C4A">
            <w:pPr>
              <w:pStyle w:val="Checkbox"/>
              <w:spacing w:before="60"/>
            </w:pPr>
            <w:r w:rsidRPr="009F2E5D">
              <w:t>Within 30 days after any change in the plan’s creditable coverage status.</w:t>
            </w:r>
          </w:p>
          <w:p w14:paraId="15AB4215" w14:textId="77777777" w:rsidR="007363CB" w:rsidRPr="009F2E5D" w:rsidRDefault="00041629" w:rsidP="00126C4A">
            <w:pPr>
              <w:spacing w:before="60" w:after="60"/>
              <w:rPr>
                <w:rFonts w:eastAsia="Times New Roman" w:cs="Arial"/>
                <w:color w:val="595959"/>
              </w:rPr>
            </w:pPr>
            <w:r w:rsidRPr="009F2E5D">
              <w:rPr>
                <w:rFonts w:eastAsia="Times New Roman" w:cs="Arial"/>
                <w:color w:val="595959"/>
              </w:rPr>
              <w:t>Plan sp</w:t>
            </w:r>
            <w:r w:rsidRPr="009F2E5D">
              <w:rPr>
                <w:rFonts w:eastAsia="Times New Roman" w:cs="Arial"/>
                <w:color w:val="595959"/>
              </w:rPr>
              <w:t xml:space="preserve">onsors must use the online disclosure form on the </w:t>
            </w:r>
            <w:hyperlink r:id="rId15" w:history="1">
              <w:r w:rsidRPr="009F2E5D">
                <w:rPr>
                  <w:rStyle w:val="Hyperlink"/>
                  <w:rFonts w:eastAsia="Times New Roman" w:cs="Arial"/>
                </w:rPr>
                <w:t>CMS Creditable Coverage webpage</w:t>
              </w:r>
            </w:hyperlink>
            <w:r w:rsidRPr="009F2E5D">
              <w:rPr>
                <w:rFonts w:eastAsia="Times New Roman" w:cs="Arial"/>
                <w:color w:val="595959"/>
              </w:rPr>
              <w:t>.</w:t>
            </w:r>
          </w:p>
        </w:tc>
      </w:tr>
      <w:tr w:rsidR="00B05DD2" w14:paraId="7731E955" w14:textId="77777777" w:rsidTr="00192BA6">
        <w:tc>
          <w:tcPr>
            <w:tcW w:w="1470" w:type="dxa"/>
            <w:shd w:val="clear" w:color="auto" w:fill="E8EFF8"/>
            <w:vAlign w:val="center"/>
          </w:tcPr>
          <w:p w14:paraId="7DE2C5D4" w14:textId="77777777" w:rsidR="007363CB" w:rsidRPr="00192BA6" w:rsidRDefault="00041629" w:rsidP="00126C4A">
            <w:pPr>
              <w:spacing w:before="60" w:after="60"/>
              <w:jc w:val="center"/>
              <w:rPr>
                <w:rFonts w:eastAsia="Times New Roman" w:cs="Arial"/>
                <w:b/>
                <w:bCs/>
                <w:color w:val="5083C9"/>
                <w:sz w:val="24"/>
                <w:szCs w:val="24"/>
              </w:rPr>
            </w:pPr>
            <w:r>
              <w:rPr>
                <w:rFonts w:eastAsia="Times New Roman" w:cs="Arial"/>
                <w:b/>
                <w:bCs/>
                <w:color w:val="5083C9"/>
                <w:sz w:val="24"/>
                <w:szCs w:val="24"/>
              </w:rPr>
              <w:lastRenderedPageBreak/>
              <w:t>March 31 (Feb. 28 for paper filings)</w:t>
            </w:r>
          </w:p>
        </w:tc>
        <w:tc>
          <w:tcPr>
            <w:tcW w:w="2059" w:type="dxa"/>
            <w:shd w:val="clear" w:color="auto" w:fill="E8EFF8"/>
            <w:vAlign w:val="center"/>
          </w:tcPr>
          <w:p w14:paraId="7FCC4428" w14:textId="77777777" w:rsidR="007363CB" w:rsidRPr="009F2E5D" w:rsidRDefault="00041629" w:rsidP="00126C4A">
            <w:pPr>
              <w:spacing w:before="60" w:after="60"/>
              <w:jc w:val="center"/>
              <w:rPr>
                <w:rFonts w:eastAsia="Times New Roman" w:cs="Arial"/>
                <w:b/>
                <w:color w:val="595959"/>
              </w:rPr>
            </w:pPr>
            <w:r w:rsidRPr="009F2E5D">
              <w:rPr>
                <w:rFonts w:eastAsia="Times New Roman" w:cs="Arial"/>
                <w:b/>
                <w:color w:val="595959"/>
              </w:rPr>
              <w:t>Section 6055 and 6056 Reporting</w:t>
            </w:r>
          </w:p>
        </w:tc>
        <w:tc>
          <w:tcPr>
            <w:tcW w:w="7001" w:type="dxa"/>
            <w:shd w:val="clear" w:color="auto" w:fill="E8EFF8"/>
          </w:tcPr>
          <w:p w14:paraId="5A5FB355" w14:textId="77777777" w:rsidR="007363CB" w:rsidRPr="009F2E5D" w:rsidRDefault="00041629" w:rsidP="00126C4A">
            <w:pPr>
              <w:spacing w:before="60" w:after="60"/>
              <w:rPr>
                <w:rFonts w:eastAsia="Times New Roman" w:cs="Arial"/>
                <w:color w:val="595959"/>
              </w:rPr>
            </w:pPr>
            <w:r w:rsidRPr="009F2E5D">
              <w:rPr>
                <w:rFonts w:eastAsia="Times New Roman" w:cs="Arial"/>
                <w:color w:val="595959"/>
              </w:rPr>
              <w:t xml:space="preserve">Under Section 6056, ALEs subject to the ACA’s employer shared responsibility rules are required to report information to the IRS about the health coverage they offer (or do not offer) to their full-time employees. ALEs must </w:t>
            </w:r>
            <w:r w:rsidRPr="009F2E5D">
              <w:rPr>
                <w:rFonts w:eastAsia="Times New Roman" w:cs="Arial"/>
                <w:color w:val="595959"/>
              </w:rPr>
              <w:t>file Form 1094-C and Form 1095-C with the IRS annually.</w:t>
            </w:r>
          </w:p>
          <w:p w14:paraId="246FA703" w14:textId="77777777" w:rsidR="007363CB" w:rsidRPr="009F2E5D" w:rsidRDefault="00041629" w:rsidP="00126C4A">
            <w:pPr>
              <w:spacing w:before="60" w:after="60"/>
              <w:rPr>
                <w:rFonts w:eastAsia="Times New Roman" w:cs="Arial"/>
                <w:color w:val="595959"/>
              </w:rPr>
            </w:pPr>
            <w:r w:rsidRPr="009F2E5D">
              <w:rPr>
                <w:rFonts w:eastAsia="Times New Roman" w:cs="Arial"/>
                <w:color w:val="595959"/>
              </w:rPr>
              <w:t>Under Section 6055, self-insured plan sponsors are required to report information about the health coverage they provided during the year. Self-insured plan sponsors must generally file Form 1094-B an</w:t>
            </w:r>
            <w:r w:rsidRPr="009F2E5D">
              <w:rPr>
                <w:rFonts w:eastAsia="Times New Roman" w:cs="Arial"/>
                <w:color w:val="595959"/>
              </w:rPr>
              <w:t>d Form 1095-B with the IRS annually.</w:t>
            </w:r>
          </w:p>
          <w:p w14:paraId="6A66DD7A" w14:textId="77777777" w:rsidR="007363CB" w:rsidRPr="009F2E5D" w:rsidRDefault="00041629" w:rsidP="00126C4A">
            <w:pPr>
              <w:spacing w:before="60" w:after="60"/>
              <w:rPr>
                <w:rFonts w:eastAsia="Times New Roman" w:cs="Arial"/>
                <w:color w:val="595959"/>
              </w:rPr>
            </w:pPr>
            <w:r w:rsidRPr="009F2E5D">
              <w:rPr>
                <w:rFonts w:eastAsia="Times New Roman" w:cs="Arial"/>
                <w:color w:val="595959"/>
              </w:rPr>
              <w:t xml:space="preserve">ALEs that sponsor self-insured plans are required to report information to the IRS under Section 6055 about health coverage provided, as well as information under Section 6056 about offers of health coverage. ALEs </w:t>
            </w:r>
            <w:r w:rsidRPr="009F2E5D">
              <w:rPr>
                <w:rFonts w:eastAsia="Times New Roman" w:cs="Arial"/>
                <w:color w:val="595959"/>
              </w:rPr>
              <w:t>that sponsor self-insured plans will generally use a combined reporting method on Form 1094-C and Form 1095-C to report information under both Sections 6055 and 6056.</w:t>
            </w:r>
          </w:p>
          <w:p w14:paraId="074B84CA" w14:textId="77777777" w:rsidR="007363CB" w:rsidRPr="009F2E5D" w:rsidRDefault="00041629" w:rsidP="00126C4A">
            <w:pPr>
              <w:spacing w:before="60" w:after="60"/>
              <w:rPr>
                <w:rFonts w:eastAsia="Times New Roman" w:cs="Arial"/>
                <w:color w:val="595959"/>
              </w:rPr>
            </w:pPr>
            <w:r w:rsidRPr="009F2E5D">
              <w:rPr>
                <w:rFonts w:eastAsia="Times New Roman" w:cs="Arial"/>
                <w:color w:val="595959"/>
              </w:rPr>
              <w:t xml:space="preserve">All forms must be </w:t>
            </w:r>
            <w:r>
              <w:rPr>
                <w:rFonts w:eastAsia="Times New Roman" w:cs="Arial"/>
                <w:color w:val="595959"/>
              </w:rPr>
              <w:t xml:space="preserve">electronically </w:t>
            </w:r>
            <w:r w:rsidRPr="009F2E5D">
              <w:rPr>
                <w:rFonts w:eastAsia="Times New Roman" w:cs="Arial"/>
                <w:color w:val="595959"/>
              </w:rPr>
              <w:t xml:space="preserve">filed with the IRS annually, no later than </w:t>
            </w:r>
            <w:r>
              <w:rPr>
                <w:rFonts w:eastAsia="Times New Roman" w:cs="Arial"/>
                <w:color w:val="595959"/>
              </w:rPr>
              <w:t>March 31</w:t>
            </w:r>
            <w:r w:rsidRPr="009F2E5D">
              <w:rPr>
                <w:rFonts w:eastAsia="Times New Roman" w:cs="Arial"/>
                <w:color w:val="595959"/>
              </w:rPr>
              <w:t xml:space="preserve"> (</w:t>
            </w:r>
            <w:r>
              <w:rPr>
                <w:rFonts w:eastAsia="Times New Roman" w:cs="Arial"/>
                <w:color w:val="595959"/>
              </w:rPr>
              <w:t>Feb</w:t>
            </w:r>
            <w:r>
              <w:rPr>
                <w:rFonts w:eastAsia="Times New Roman" w:cs="Arial"/>
                <w:color w:val="595959"/>
              </w:rPr>
              <w:t>. 28</w:t>
            </w:r>
            <w:r w:rsidRPr="009F2E5D">
              <w:rPr>
                <w:rFonts w:eastAsia="Times New Roman" w:cs="Arial"/>
                <w:color w:val="595959"/>
              </w:rPr>
              <w:t xml:space="preserve">, if filed </w:t>
            </w:r>
            <w:r>
              <w:rPr>
                <w:rFonts w:eastAsia="Times New Roman" w:cs="Arial"/>
                <w:color w:val="595959"/>
              </w:rPr>
              <w:t>on paper</w:t>
            </w:r>
            <w:r w:rsidRPr="009F2E5D">
              <w:rPr>
                <w:rFonts w:eastAsia="Times New Roman" w:cs="Arial"/>
                <w:color w:val="595959"/>
              </w:rPr>
              <w:t>) of the year following the calendar year to which the return relates. Reporting entities that are filing 250 or more returns must file electronically. There is no alternate filing date for employers with non-calendar year plans.</w:t>
            </w:r>
          </w:p>
        </w:tc>
      </w:tr>
    </w:tbl>
    <w:p w14:paraId="50D16BAC" w14:textId="77777777" w:rsidR="00192BA6" w:rsidRDefault="00192BA6" w:rsidP="00192BA6">
      <w:pPr>
        <w:pStyle w:val="BodyText"/>
        <w:jc w:val="center"/>
      </w:pPr>
    </w:p>
    <w:tbl>
      <w:tblPr>
        <w:tblW w:w="10440" w:type="dxa"/>
        <w:tblInd w:w="270"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284"/>
        <w:gridCol w:w="1962"/>
        <w:gridCol w:w="7194"/>
      </w:tblGrid>
      <w:tr w:rsidR="00B05DD2" w14:paraId="1986E23E" w14:textId="77777777" w:rsidTr="00192BA6">
        <w:tc>
          <w:tcPr>
            <w:tcW w:w="10440" w:type="dxa"/>
            <w:gridSpan w:val="3"/>
            <w:shd w:val="clear" w:color="auto" w:fill="5083C9"/>
          </w:tcPr>
          <w:p w14:paraId="0D1C80D3" w14:textId="77777777" w:rsidR="00192BA6" w:rsidRPr="009F2E5D" w:rsidRDefault="00041629" w:rsidP="00126C4A">
            <w:pPr>
              <w:pStyle w:val="BodyText"/>
              <w:tabs>
                <w:tab w:val="center" w:pos="4680"/>
                <w:tab w:val="left" w:pos="6345"/>
              </w:tabs>
              <w:spacing w:before="60" w:after="60"/>
              <w:jc w:val="left"/>
              <w:rPr>
                <w:b/>
                <w:color w:val="FFFFFF"/>
                <w:sz w:val="28"/>
                <w:szCs w:val="28"/>
              </w:rPr>
            </w:pPr>
            <w:r>
              <w:rPr>
                <w:sz w:val="20"/>
              </w:rPr>
              <w:br w:type="page"/>
            </w:r>
            <w:r w:rsidRPr="007768B0">
              <w:rPr>
                <w:b/>
                <w:color w:val="FFFFFF"/>
              </w:rPr>
              <w:tab/>
            </w:r>
            <w:r w:rsidRPr="009F2E5D">
              <w:rPr>
                <w:b/>
                <w:color w:val="FFFFFF"/>
                <w:sz w:val="28"/>
                <w:szCs w:val="28"/>
              </w:rPr>
              <w:t>JULY</w:t>
            </w:r>
            <w:r w:rsidRPr="009F2E5D">
              <w:rPr>
                <w:b/>
                <w:color w:val="FFFFFF"/>
                <w:sz w:val="28"/>
                <w:szCs w:val="28"/>
              </w:rPr>
              <w:tab/>
            </w:r>
          </w:p>
        </w:tc>
      </w:tr>
      <w:tr w:rsidR="00B05DD2" w14:paraId="33A6030D" w14:textId="77777777" w:rsidTr="00192BA6">
        <w:tc>
          <w:tcPr>
            <w:tcW w:w="1284" w:type="dxa"/>
            <w:shd w:val="clear" w:color="auto" w:fill="767171"/>
          </w:tcPr>
          <w:p w14:paraId="66A211DA" w14:textId="77777777" w:rsidR="00192BA6" w:rsidRPr="00894829" w:rsidRDefault="00041629" w:rsidP="00126C4A">
            <w:pPr>
              <w:pStyle w:val="BodyText"/>
              <w:spacing w:before="60" w:after="60"/>
              <w:jc w:val="center"/>
              <w:rPr>
                <w:b/>
                <w:color w:val="FFFFFF"/>
              </w:rPr>
            </w:pPr>
            <w:r w:rsidRPr="00894829">
              <w:rPr>
                <w:b/>
                <w:color w:val="FFFFFF"/>
              </w:rPr>
              <w:t>DEADLINE</w:t>
            </w:r>
          </w:p>
        </w:tc>
        <w:tc>
          <w:tcPr>
            <w:tcW w:w="1962" w:type="dxa"/>
            <w:shd w:val="clear" w:color="auto" w:fill="767171"/>
          </w:tcPr>
          <w:p w14:paraId="7293D446" w14:textId="77777777" w:rsidR="00192BA6" w:rsidRPr="00894829" w:rsidRDefault="00041629" w:rsidP="00126C4A">
            <w:pPr>
              <w:pStyle w:val="BodyText"/>
              <w:spacing w:before="60" w:after="60"/>
              <w:jc w:val="center"/>
              <w:rPr>
                <w:b/>
                <w:color w:val="FFFFFF"/>
              </w:rPr>
            </w:pPr>
            <w:r w:rsidRPr="00894829">
              <w:rPr>
                <w:b/>
                <w:color w:val="FFFFFF"/>
              </w:rPr>
              <w:t>REQUIREMENT</w:t>
            </w:r>
          </w:p>
        </w:tc>
        <w:tc>
          <w:tcPr>
            <w:tcW w:w="7194" w:type="dxa"/>
            <w:shd w:val="clear" w:color="auto" w:fill="767171"/>
          </w:tcPr>
          <w:p w14:paraId="2C4379D7" w14:textId="77777777" w:rsidR="00192BA6" w:rsidRPr="00894829" w:rsidRDefault="00041629" w:rsidP="00126C4A">
            <w:pPr>
              <w:pStyle w:val="BodyText"/>
              <w:spacing w:before="60" w:after="60"/>
              <w:jc w:val="center"/>
              <w:rPr>
                <w:b/>
                <w:color w:val="FFFFFF"/>
              </w:rPr>
            </w:pPr>
            <w:r w:rsidRPr="00894829">
              <w:rPr>
                <w:b/>
                <w:color w:val="FFFFFF"/>
              </w:rPr>
              <w:t>DESCRIPTION</w:t>
            </w:r>
          </w:p>
        </w:tc>
      </w:tr>
      <w:tr w:rsidR="00B05DD2" w14:paraId="1455DC28" w14:textId="77777777" w:rsidTr="00192BA6">
        <w:tc>
          <w:tcPr>
            <w:tcW w:w="1284" w:type="dxa"/>
            <w:shd w:val="clear" w:color="auto" w:fill="E8EFF8"/>
            <w:vAlign w:val="center"/>
          </w:tcPr>
          <w:p w14:paraId="02CFCA51" w14:textId="77777777" w:rsidR="00192BA6" w:rsidRPr="00192BA6" w:rsidRDefault="00041629" w:rsidP="00126C4A">
            <w:pPr>
              <w:spacing w:before="60" w:after="60"/>
              <w:jc w:val="center"/>
              <w:rPr>
                <w:rFonts w:eastAsia="Times New Roman" w:cs="Arial"/>
                <w:b/>
                <w:bCs/>
                <w:color w:val="4884A2"/>
                <w:sz w:val="24"/>
                <w:szCs w:val="24"/>
              </w:rPr>
            </w:pPr>
            <w:r w:rsidRPr="00192BA6">
              <w:rPr>
                <w:rFonts w:eastAsia="Times New Roman" w:cs="Arial"/>
                <w:b/>
                <w:bCs/>
                <w:color w:val="5083C9"/>
                <w:sz w:val="24"/>
                <w:szCs w:val="24"/>
              </w:rPr>
              <w:t>July 31</w:t>
            </w:r>
          </w:p>
        </w:tc>
        <w:tc>
          <w:tcPr>
            <w:tcW w:w="1962" w:type="dxa"/>
            <w:shd w:val="clear" w:color="auto" w:fill="E8EFF8"/>
            <w:vAlign w:val="center"/>
          </w:tcPr>
          <w:p w14:paraId="78912890" w14:textId="77777777" w:rsidR="00192BA6" w:rsidRPr="00195051" w:rsidRDefault="00041629" w:rsidP="00126C4A">
            <w:pPr>
              <w:spacing w:before="60" w:after="60"/>
              <w:jc w:val="center"/>
              <w:rPr>
                <w:rFonts w:eastAsia="Times New Roman" w:cs="Arial"/>
                <w:b/>
                <w:color w:val="595959"/>
              </w:rPr>
            </w:pPr>
            <w:r w:rsidRPr="00195051">
              <w:rPr>
                <w:rFonts w:eastAsia="Times New Roman" w:cs="Arial"/>
                <w:b/>
                <w:color w:val="595959"/>
              </w:rPr>
              <w:t>PCORI Fee</w:t>
            </w:r>
          </w:p>
        </w:tc>
        <w:tc>
          <w:tcPr>
            <w:tcW w:w="7194" w:type="dxa"/>
            <w:shd w:val="clear" w:color="auto" w:fill="E8EFF8"/>
          </w:tcPr>
          <w:p w14:paraId="73CE23C8" w14:textId="77777777" w:rsidR="00192BA6" w:rsidRDefault="00041629" w:rsidP="00126C4A">
            <w:pPr>
              <w:spacing w:before="60" w:after="60"/>
              <w:rPr>
                <w:rFonts w:eastAsia="Times New Roman" w:cs="Arial"/>
                <w:color w:val="595959"/>
              </w:rPr>
            </w:pPr>
            <w:r w:rsidRPr="00195051">
              <w:rPr>
                <w:rFonts w:eastAsia="Times New Roman" w:cs="Arial"/>
                <w:color w:val="595959"/>
              </w:rPr>
              <w:t xml:space="preserve">Deadline for filing IRS Form 720 and paying Patient-Centered Outcomes Research Institute (PCORI) fees for the previous year. </w:t>
            </w:r>
            <w:r w:rsidRPr="00195051">
              <w:rPr>
                <w:rFonts w:eastAsia="Times New Roman" w:cs="Arial"/>
                <w:b/>
                <w:color w:val="595959"/>
              </w:rPr>
              <w:t>For insured health plans</w:t>
            </w:r>
            <w:r w:rsidRPr="00195051">
              <w:rPr>
                <w:rFonts w:eastAsia="Times New Roman" w:cs="Arial"/>
                <w:color w:val="595959"/>
              </w:rPr>
              <w:t xml:space="preserve">, the issuer of the health insurance policy is responsible for the PCORI fee payment. </w:t>
            </w:r>
            <w:r w:rsidRPr="00195051">
              <w:rPr>
                <w:rFonts w:eastAsia="Times New Roman" w:cs="Arial"/>
                <w:b/>
                <w:color w:val="595959"/>
              </w:rPr>
              <w:t>For self-insured plan</w:t>
            </w:r>
            <w:r w:rsidRPr="00195051">
              <w:rPr>
                <w:rFonts w:eastAsia="Times New Roman" w:cs="Arial"/>
                <w:b/>
                <w:color w:val="595959"/>
              </w:rPr>
              <w:t>s</w:t>
            </w:r>
            <w:r w:rsidRPr="00195051">
              <w:rPr>
                <w:rFonts w:eastAsia="Times New Roman" w:cs="Arial"/>
                <w:color w:val="595959"/>
              </w:rPr>
              <w:t>, the PCORI f</w:t>
            </w:r>
            <w:r>
              <w:rPr>
                <w:rFonts w:eastAsia="Times New Roman" w:cs="Arial"/>
                <w:color w:val="595959"/>
              </w:rPr>
              <w:t>ee is paid by the plan sponsor.</w:t>
            </w:r>
          </w:p>
          <w:p w14:paraId="463FB029" w14:textId="77777777" w:rsidR="00192BA6" w:rsidRPr="00F342D8" w:rsidRDefault="00041629" w:rsidP="00126C4A">
            <w:pPr>
              <w:spacing w:before="60" w:after="60"/>
            </w:pPr>
            <w:r>
              <w:rPr>
                <w:rFonts w:eastAsia="Times New Roman" w:cs="Arial"/>
                <w:color w:val="595959"/>
              </w:rPr>
              <w:t xml:space="preserve">The PCORI fees </w:t>
            </w:r>
            <w:r w:rsidR="007363CB">
              <w:rPr>
                <w:rFonts w:eastAsia="Times New Roman" w:cs="Arial"/>
                <w:color w:val="595959"/>
              </w:rPr>
              <w:t xml:space="preserve">were scheduled to expire for policy or plan years ending on or after Oct. 1, 2019. However, a spending bill enacted at the end of 2019 </w:t>
            </w:r>
            <w:r w:rsidR="007363CB">
              <w:rPr>
                <w:rFonts w:eastAsia="Times New Roman" w:cs="Arial"/>
                <w:color w:val="595959"/>
              </w:rPr>
              <w:lastRenderedPageBreak/>
              <w:t xml:space="preserve">extended the PCORI fees for an additional 10 years. These fees will continue to apply for the 2020-2029 fiscal years. </w:t>
            </w:r>
          </w:p>
        </w:tc>
      </w:tr>
      <w:tr w:rsidR="00B05DD2" w14:paraId="4C7941E6" w14:textId="77777777" w:rsidTr="00192BA6">
        <w:tc>
          <w:tcPr>
            <w:tcW w:w="1284" w:type="dxa"/>
            <w:shd w:val="clear" w:color="auto" w:fill="E8EFF8"/>
            <w:vAlign w:val="center"/>
          </w:tcPr>
          <w:p w14:paraId="3CEB940B" w14:textId="77777777" w:rsidR="00192BA6" w:rsidRPr="00192BA6" w:rsidRDefault="00041629" w:rsidP="00126C4A">
            <w:pPr>
              <w:spacing w:before="60" w:after="60"/>
              <w:jc w:val="center"/>
              <w:rPr>
                <w:rFonts w:eastAsia="Times New Roman" w:cs="Arial"/>
                <w:b/>
                <w:bCs/>
                <w:color w:val="4884A2"/>
                <w:sz w:val="24"/>
                <w:szCs w:val="24"/>
              </w:rPr>
            </w:pPr>
            <w:r w:rsidRPr="00192BA6">
              <w:rPr>
                <w:rFonts w:eastAsia="Times New Roman" w:cs="Arial"/>
                <w:b/>
                <w:bCs/>
                <w:color w:val="5083C9"/>
                <w:sz w:val="24"/>
                <w:szCs w:val="24"/>
              </w:rPr>
              <w:lastRenderedPageBreak/>
              <w:t>July 31 (calendar year plans)</w:t>
            </w:r>
          </w:p>
        </w:tc>
        <w:tc>
          <w:tcPr>
            <w:tcW w:w="1962" w:type="dxa"/>
            <w:shd w:val="clear" w:color="auto" w:fill="E8EFF8"/>
            <w:vAlign w:val="center"/>
          </w:tcPr>
          <w:p w14:paraId="349B359A" w14:textId="77777777" w:rsidR="00192BA6" w:rsidRPr="00195051" w:rsidRDefault="00041629" w:rsidP="00126C4A">
            <w:pPr>
              <w:spacing w:before="60" w:after="60"/>
              <w:jc w:val="center"/>
              <w:rPr>
                <w:rFonts w:eastAsia="Times New Roman" w:cs="Arial"/>
                <w:b/>
                <w:color w:val="595959"/>
              </w:rPr>
            </w:pPr>
            <w:r w:rsidRPr="00195051">
              <w:rPr>
                <w:rFonts w:eastAsia="Times New Roman" w:cs="Arial"/>
                <w:b/>
                <w:color w:val="595959"/>
              </w:rPr>
              <w:t>Form 5500</w:t>
            </w:r>
          </w:p>
        </w:tc>
        <w:tc>
          <w:tcPr>
            <w:tcW w:w="7194" w:type="dxa"/>
            <w:shd w:val="clear" w:color="auto" w:fill="E8EFF8"/>
          </w:tcPr>
          <w:p w14:paraId="416412FC" w14:textId="77777777" w:rsidR="00192BA6" w:rsidRPr="00195051" w:rsidRDefault="00041629" w:rsidP="00126C4A">
            <w:pPr>
              <w:spacing w:before="60" w:after="60"/>
              <w:rPr>
                <w:rFonts w:eastAsia="Times New Roman" w:cs="Arial"/>
                <w:color w:val="595959"/>
              </w:rPr>
            </w:pPr>
            <w:r w:rsidRPr="00195051">
              <w:rPr>
                <w:rFonts w:eastAsia="Times New Roman" w:cs="Arial"/>
                <w:color w:val="595959"/>
              </w:rPr>
              <w:t>Plan administrators of ERISA employee benefit plans must file Form 5500 by the last day of the seventh month following the end of the plan year, unless an e</w:t>
            </w:r>
            <w:r w:rsidRPr="00195051">
              <w:rPr>
                <w:rFonts w:eastAsia="Times New Roman" w:cs="Arial"/>
                <w:color w:val="595959"/>
              </w:rPr>
              <w:t xml:space="preserve">xtension has been granted. Form 5500 reports information on a plan’s financial condition, investments and operations. Form 5558 is used to apply for an extension of two and one-half months to file Form 5500. </w:t>
            </w:r>
          </w:p>
          <w:p w14:paraId="373936AC" w14:textId="77777777" w:rsidR="00192BA6" w:rsidRPr="00195051" w:rsidRDefault="00041629" w:rsidP="00126C4A">
            <w:pPr>
              <w:spacing w:before="60" w:after="60"/>
              <w:rPr>
                <w:rFonts w:eastAsia="Times New Roman" w:cs="Arial"/>
                <w:color w:val="595959"/>
              </w:rPr>
            </w:pPr>
            <w:r w:rsidRPr="00195051">
              <w:rPr>
                <w:rFonts w:eastAsia="Times New Roman" w:cs="Arial"/>
                <w:color w:val="595959"/>
              </w:rPr>
              <w:t>Small health plans (fewer than 100 participants</w:t>
            </w:r>
            <w:r w:rsidRPr="00195051">
              <w:rPr>
                <w:rFonts w:eastAsia="Times New Roman" w:cs="Arial"/>
                <w:color w:val="595959"/>
              </w:rPr>
              <w:t>) that are fully insured, unfunded or a combination of insured/unfunded, are generally exempt from the Form 5500 filing requirement.</w:t>
            </w:r>
          </w:p>
          <w:p w14:paraId="28F33842" w14:textId="77777777" w:rsidR="00192BA6" w:rsidRDefault="00041629" w:rsidP="00126C4A">
            <w:pPr>
              <w:spacing w:before="60" w:after="60"/>
              <w:rPr>
                <w:rFonts w:eastAsia="Times New Roman" w:cs="Arial"/>
                <w:color w:val="595959"/>
              </w:rPr>
            </w:pPr>
            <w:r w:rsidRPr="00195051">
              <w:rPr>
                <w:rFonts w:eastAsia="Times New Roman" w:cs="Arial"/>
                <w:color w:val="595959"/>
              </w:rPr>
              <w:t xml:space="preserve">The </w:t>
            </w:r>
            <w:r>
              <w:rPr>
                <w:rFonts w:eastAsia="Times New Roman" w:cs="Arial"/>
                <w:color w:val="595959"/>
              </w:rPr>
              <w:t>Department of Labor’s (DOL)</w:t>
            </w:r>
            <w:r w:rsidRPr="00195051">
              <w:rPr>
                <w:rFonts w:eastAsia="Times New Roman" w:cs="Arial"/>
                <w:color w:val="595959"/>
              </w:rPr>
              <w:t xml:space="preserve"> </w:t>
            </w:r>
            <w:hyperlink r:id="rId16" w:history="1">
              <w:r w:rsidRPr="00195051">
                <w:rPr>
                  <w:rStyle w:val="Hyperlink"/>
                  <w:rFonts w:eastAsia="Times New Roman" w:cs="Arial"/>
                </w:rPr>
                <w:t>website</w:t>
              </w:r>
            </w:hyperlink>
            <w:r w:rsidRPr="00195051">
              <w:rPr>
                <w:rFonts w:eastAsia="Times New Roman" w:cs="Arial"/>
                <w:color w:val="595959"/>
              </w:rPr>
              <w:t xml:space="preserve"> and the latest Form 5500 instructions provide information on who is required to file and detailed information on filing.</w:t>
            </w:r>
          </w:p>
          <w:p w14:paraId="15C1F24D" w14:textId="77777777" w:rsidR="00CD7C30" w:rsidRPr="007C4836" w:rsidRDefault="00041629" w:rsidP="00126C4A">
            <w:pPr>
              <w:spacing w:before="60" w:after="60"/>
              <w:rPr>
                <w:rFonts w:eastAsia="Times New Roman" w:cs="Arial"/>
                <w:i/>
                <w:color w:val="595959"/>
              </w:rPr>
            </w:pPr>
            <w:r>
              <w:rPr>
                <w:rFonts w:eastAsia="Times New Roman" w:cs="Arial"/>
                <w:i/>
                <w:color w:val="595959"/>
              </w:rPr>
              <w:t xml:space="preserve">Note: </w:t>
            </w:r>
            <w:r w:rsidRPr="007C4836">
              <w:rPr>
                <w:rFonts w:eastAsia="Times New Roman" w:cs="Arial"/>
                <w:i/>
                <w:color w:val="595959"/>
              </w:rPr>
              <w:t xml:space="preserve">Due to the COVID-19 outbreak, the IRS </w:t>
            </w:r>
            <w:hyperlink r:id="rId17" w:history="1">
              <w:r w:rsidRPr="007C4836">
                <w:rPr>
                  <w:rStyle w:val="Hyperlink"/>
                  <w:rFonts w:eastAsia="Times New Roman" w:cs="Arial"/>
                  <w:i/>
                </w:rPr>
                <w:t>extended the deadline</w:t>
              </w:r>
            </w:hyperlink>
            <w:r w:rsidRPr="007C4836">
              <w:rPr>
                <w:rFonts w:eastAsia="Times New Roman" w:cs="Arial"/>
                <w:i/>
                <w:color w:val="595959"/>
              </w:rPr>
              <w:t xml:space="preserve"> for certain Forms 5500. The due date for Forms 5500 due between April 1, 2020 and July 15, 2020 has been extended to July 15, 2020. </w:t>
            </w:r>
            <w:r w:rsidR="007C4836">
              <w:rPr>
                <w:rFonts w:eastAsia="Times New Roman" w:cs="Arial"/>
                <w:i/>
                <w:color w:val="595959"/>
              </w:rPr>
              <w:t xml:space="preserve">The IRS did not extend the deadline for 2019 Forms 5500 for calendar year plans, which are due on July 31, 2020. </w:t>
            </w:r>
          </w:p>
        </w:tc>
      </w:tr>
    </w:tbl>
    <w:p w14:paraId="62E1EACC" w14:textId="77777777" w:rsidR="00192BA6" w:rsidRDefault="00192BA6" w:rsidP="00192BA6">
      <w:pPr>
        <w:pStyle w:val="BodyText"/>
        <w:jc w:val="center"/>
      </w:pPr>
    </w:p>
    <w:tbl>
      <w:tblPr>
        <w:tblW w:w="10440" w:type="dxa"/>
        <w:tblInd w:w="270"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290"/>
        <w:gridCol w:w="1966"/>
        <w:gridCol w:w="7184"/>
      </w:tblGrid>
      <w:tr w:rsidR="00B05DD2" w14:paraId="6F60706C" w14:textId="77777777" w:rsidTr="00192BA6">
        <w:tc>
          <w:tcPr>
            <w:tcW w:w="10440" w:type="dxa"/>
            <w:gridSpan w:val="3"/>
            <w:shd w:val="clear" w:color="auto" w:fill="5083C9"/>
          </w:tcPr>
          <w:p w14:paraId="0FF97093" w14:textId="77777777" w:rsidR="00192BA6" w:rsidRPr="00195051" w:rsidRDefault="00041629" w:rsidP="00126C4A">
            <w:pPr>
              <w:pStyle w:val="BodyText"/>
              <w:tabs>
                <w:tab w:val="left" w:pos="2580"/>
                <w:tab w:val="center" w:pos="4680"/>
              </w:tabs>
              <w:spacing w:before="60" w:after="60"/>
              <w:jc w:val="left"/>
              <w:rPr>
                <w:b/>
                <w:color w:val="FFFFFF"/>
                <w:sz w:val="28"/>
                <w:szCs w:val="28"/>
              </w:rPr>
            </w:pPr>
            <w:r w:rsidRPr="007768B0">
              <w:rPr>
                <w:b/>
                <w:color w:val="FFFFFF"/>
              </w:rPr>
              <w:tab/>
            </w:r>
            <w:r w:rsidRPr="007768B0">
              <w:rPr>
                <w:b/>
                <w:color w:val="FFFFFF"/>
              </w:rPr>
              <w:tab/>
            </w:r>
            <w:r w:rsidRPr="00195051">
              <w:rPr>
                <w:b/>
                <w:color w:val="FFFFFF"/>
                <w:sz w:val="28"/>
                <w:szCs w:val="28"/>
              </w:rPr>
              <w:t>SEPTEMBER</w:t>
            </w:r>
          </w:p>
        </w:tc>
      </w:tr>
      <w:tr w:rsidR="00B05DD2" w14:paraId="282A58D9" w14:textId="77777777" w:rsidTr="00192BA6">
        <w:tc>
          <w:tcPr>
            <w:tcW w:w="1290" w:type="dxa"/>
            <w:shd w:val="clear" w:color="auto" w:fill="767171"/>
          </w:tcPr>
          <w:p w14:paraId="61C5C1D7" w14:textId="77777777" w:rsidR="00192BA6" w:rsidRPr="00894829" w:rsidRDefault="00041629" w:rsidP="00126C4A">
            <w:pPr>
              <w:pStyle w:val="BodyText"/>
              <w:spacing w:before="60" w:after="60"/>
              <w:jc w:val="center"/>
              <w:rPr>
                <w:b/>
                <w:color w:val="FFFFFF"/>
              </w:rPr>
            </w:pPr>
            <w:r w:rsidRPr="00894829">
              <w:rPr>
                <w:b/>
                <w:color w:val="FFFFFF"/>
              </w:rPr>
              <w:t>DEADLINE</w:t>
            </w:r>
          </w:p>
        </w:tc>
        <w:tc>
          <w:tcPr>
            <w:tcW w:w="1966" w:type="dxa"/>
            <w:shd w:val="clear" w:color="auto" w:fill="767171"/>
          </w:tcPr>
          <w:p w14:paraId="7AAA3071" w14:textId="77777777" w:rsidR="00192BA6" w:rsidRPr="00894829" w:rsidRDefault="00041629" w:rsidP="00126C4A">
            <w:pPr>
              <w:pStyle w:val="BodyText"/>
              <w:spacing w:before="60" w:after="60"/>
              <w:jc w:val="center"/>
              <w:rPr>
                <w:b/>
                <w:color w:val="FFFFFF"/>
              </w:rPr>
            </w:pPr>
            <w:r w:rsidRPr="00894829">
              <w:rPr>
                <w:b/>
                <w:color w:val="FFFFFF"/>
              </w:rPr>
              <w:t>REQUIREMENT</w:t>
            </w:r>
          </w:p>
        </w:tc>
        <w:tc>
          <w:tcPr>
            <w:tcW w:w="7184" w:type="dxa"/>
            <w:shd w:val="clear" w:color="auto" w:fill="767171"/>
          </w:tcPr>
          <w:p w14:paraId="6E1148FF" w14:textId="77777777" w:rsidR="00192BA6" w:rsidRPr="00894829" w:rsidRDefault="00041629" w:rsidP="00126C4A">
            <w:pPr>
              <w:pStyle w:val="BodyText"/>
              <w:spacing w:before="60" w:after="60"/>
              <w:jc w:val="center"/>
              <w:rPr>
                <w:b/>
                <w:color w:val="FFFFFF"/>
              </w:rPr>
            </w:pPr>
            <w:r w:rsidRPr="00894829">
              <w:rPr>
                <w:b/>
                <w:color w:val="FFFFFF"/>
              </w:rPr>
              <w:t>DESCRIPTION</w:t>
            </w:r>
          </w:p>
        </w:tc>
      </w:tr>
      <w:tr w:rsidR="00B05DD2" w14:paraId="7A9668AE" w14:textId="77777777" w:rsidTr="00192BA6">
        <w:tc>
          <w:tcPr>
            <w:tcW w:w="1290" w:type="dxa"/>
            <w:shd w:val="clear" w:color="auto" w:fill="E8EFF8"/>
            <w:vAlign w:val="center"/>
          </w:tcPr>
          <w:p w14:paraId="7B9F3A32" w14:textId="77777777" w:rsidR="00192BA6" w:rsidRPr="00192BA6" w:rsidRDefault="00041629" w:rsidP="00126C4A">
            <w:pPr>
              <w:spacing w:before="60" w:after="60"/>
              <w:jc w:val="center"/>
              <w:rPr>
                <w:rFonts w:eastAsia="Times New Roman" w:cs="Arial"/>
                <w:b/>
                <w:bCs/>
                <w:color w:val="5083C9"/>
                <w:sz w:val="24"/>
                <w:szCs w:val="24"/>
              </w:rPr>
            </w:pPr>
            <w:r w:rsidRPr="00192BA6">
              <w:rPr>
                <w:rFonts w:eastAsia="Times New Roman" w:cs="Arial"/>
                <w:b/>
                <w:bCs/>
                <w:color w:val="5083C9"/>
                <w:sz w:val="24"/>
                <w:szCs w:val="24"/>
              </w:rPr>
              <w:t>Sept. 30</w:t>
            </w:r>
          </w:p>
        </w:tc>
        <w:tc>
          <w:tcPr>
            <w:tcW w:w="1966" w:type="dxa"/>
            <w:shd w:val="clear" w:color="auto" w:fill="E8EFF8"/>
            <w:vAlign w:val="center"/>
          </w:tcPr>
          <w:p w14:paraId="2688874D" w14:textId="77777777" w:rsidR="00192BA6" w:rsidRPr="00195051" w:rsidRDefault="00041629" w:rsidP="00126C4A">
            <w:pPr>
              <w:spacing w:before="60" w:after="60"/>
              <w:jc w:val="center"/>
              <w:rPr>
                <w:rFonts w:eastAsia="Times New Roman" w:cs="Arial"/>
                <w:b/>
                <w:color w:val="595959"/>
              </w:rPr>
            </w:pPr>
            <w:r w:rsidRPr="00195051">
              <w:rPr>
                <w:rFonts w:eastAsia="Times New Roman" w:cs="Arial"/>
                <w:b/>
                <w:color w:val="595959"/>
              </w:rPr>
              <w:t>Medical Loss Ratio (MLR) Rebates</w:t>
            </w:r>
          </w:p>
        </w:tc>
        <w:tc>
          <w:tcPr>
            <w:tcW w:w="7184" w:type="dxa"/>
            <w:shd w:val="clear" w:color="auto" w:fill="E8EFF8"/>
          </w:tcPr>
          <w:p w14:paraId="5EBB679E" w14:textId="77777777" w:rsidR="00192BA6" w:rsidRPr="00195051" w:rsidRDefault="00041629" w:rsidP="00126C4A">
            <w:pPr>
              <w:pStyle w:val="T-Text"/>
              <w:spacing w:before="60" w:after="60" w:line="259" w:lineRule="auto"/>
              <w:rPr>
                <w:rFonts w:eastAsia="Times New Roman" w:cs="Arial"/>
                <w:sz w:val="22"/>
                <w:szCs w:val="22"/>
              </w:rPr>
            </w:pPr>
            <w:r>
              <w:rPr>
                <w:rFonts w:eastAsia="Times New Roman" w:cs="Arial"/>
                <w:sz w:val="22"/>
                <w:szCs w:val="22"/>
              </w:rPr>
              <w:t>The d</w:t>
            </w:r>
            <w:r w:rsidRPr="00195051">
              <w:rPr>
                <w:rFonts w:eastAsia="Times New Roman" w:cs="Arial"/>
                <w:sz w:val="22"/>
                <w:szCs w:val="22"/>
              </w:rPr>
              <w:t xml:space="preserve">eadline for issuers to pay medical loss ratio (MLR) rebates for the 2014 reporting year and beyond is </w:t>
            </w:r>
            <w:r>
              <w:rPr>
                <w:rFonts w:eastAsia="Times New Roman" w:cs="Arial"/>
                <w:sz w:val="22"/>
                <w:szCs w:val="22"/>
              </w:rPr>
              <w:t>Sept. 30</w:t>
            </w:r>
            <w:r w:rsidRPr="00195051">
              <w:rPr>
                <w:rFonts w:eastAsia="Times New Roman" w:cs="Arial"/>
                <w:sz w:val="22"/>
                <w:szCs w:val="22"/>
              </w:rPr>
              <w:t>. The ACA requires health insurance issuers to spend at least 80 to 85 percent of their premiums on health care claims and health care quality imp</w:t>
            </w:r>
            <w:r w:rsidRPr="00195051">
              <w:rPr>
                <w:rFonts w:eastAsia="Times New Roman" w:cs="Arial"/>
                <w:sz w:val="22"/>
                <w:szCs w:val="22"/>
              </w:rPr>
              <w:t>rovement activities. Issuers that do not meet the applicable MLR percentage must pay rebates to consumers.</w:t>
            </w:r>
          </w:p>
          <w:p w14:paraId="5682FFA6" w14:textId="77777777" w:rsidR="00192BA6" w:rsidRPr="00195051" w:rsidRDefault="00041629" w:rsidP="00126C4A">
            <w:pPr>
              <w:spacing w:before="60" w:after="60"/>
              <w:rPr>
                <w:rFonts w:eastAsia="Times New Roman" w:cs="Arial"/>
                <w:color w:val="595959"/>
              </w:rPr>
            </w:pPr>
            <w:r w:rsidRPr="00195051">
              <w:rPr>
                <w:rFonts w:eastAsia="Times New Roman" w:cs="Arial"/>
                <w:color w:val="595959"/>
              </w:rPr>
              <w:t xml:space="preserve">Also, if the rebate is a “plan asset” under ERISA, the rebate should, as a general rule, be used within </w:t>
            </w:r>
            <w:r w:rsidRPr="00195051">
              <w:rPr>
                <w:rFonts w:eastAsia="Times New Roman" w:cs="Arial"/>
                <w:b/>
                <w:color w:val="595959"/>
              </w:rPr>
              <w:t>three months</w:t>
            </w:r>
            <w:r w:rsidRPr="00195051">
              <w:rPr>
                <w:rFonts w:eastAsia="Times New Roman" w:cs="Arial"/>
                <w:color w:val="595959"/>
              </w:rPr>
              <w:t xml:space="preserve"> of when it is received by the pl</w:t>
            </w:r>
            <w:r w:rsidRPr="00195051">
              <w:rPr>
                <w:rFonts w:eastAsia="Times New Roman" w:cs="Arial"/>
                <w:color w:val="595959"/>
              </w:rPr>
              <w:t xml:space="preserve">an sponsor. Thus, employers who decide to distribute the rebate to participants should make the distributions within this three-month time limit.  </w:t>
            </w:r>
          </w:p>
        </w:tc>
      </w:tr>
      <w:tr w:rsidR="00B05DD2" w14:paraId="7C9319F7" w14:textId="77777777" w:rsidTr="00192BA6">
        <w:tc>
          <w:tcPr>
            <w:tcW w:w="1290" w:type="dxa"/>
            <w:shd w:val="clear" w:color="auto" w:fill="E8EFF8"/>
            <w:vAlign w:val="center"/>
          </w:tcPr>
          <w:p w14:paraId="773AD232" w14:textId="77777777" w:rsidR="00192BA6" w:rsidRPr="00192BA6" w:rsidRDefault="00041629" w:rsidP="00126C4A">
            <w:pPr>
              <w:spacing w:before="60" w:after="60"/>
              <w:jc w:val="center"/>
              <w:rPr>
                <w:rFonts w:eastAsia="Times New Roman" w:cs="Arial"/>
                <w:b/>
                <w:bCs/>
                <w:color w:val="5083C9"/>
                <w:sz w:val="24"/>
                <w:szCs w:val="24"/>
              </w:rPr>
            </w:pPr>
            <w:r w:rsidRPr="00192BA6">
              <w:rPr>
                <w:rFonts w:eastAsia="Times New Roman" w:cs="Arial"/>
                <w:b/>
                <w:bCs/>
                <w:color w:val="5083C9"/>
                <w:sz w:val="24"/>
                <w:szCs w:val="24"/>
              </w:rPr>
              <w:t>Sept. 30 (calendar year plans)</w:t>
            </w:r>
          </w:p>
        </w:tc>
        <w:tc>
          <w:tcPr>
            <w:tcW w:w="1966" w:type="dxa"/>
            <w:shd w:val="clear" w:color="auto" w:fill="E8EFF8"/>
            <w:vAlign w:val="center"/>
          </w:tcPr>
          <w:p w14:paraId="269EB317" w14:textId="77777777" w:rsidR="00192BA6" w:rsidRPr="00195051" w:rsidRDefault="00041629" w:rsidP="00126C4A">
            <w:pPr>
              <w:spacing w:before="60" w:after="60"/>
              <w:jc w:val="center"/>
              <w:rPr>
                <w:rFonts w:eastAsia="Times New Roman" w:cs="Arial"/>
                <w:b/>
                <w:color w:val="595959"/>
              </w:rPr>
            </w:pPr>
            <w:r w:rsidRPr="00195051">
              <w:rPr>
                <w:rFonts w:eastAsia="Times New Roman" w:cs="Arial"/>
                <w:b/>
                <w:color w:val="595959"/>
              </w:rPr>
              <w:t>Summary Annual Report</w:t>
            </w:r>
          </w:p>
        </w:tc>
        <w:tc>
          <w:tcPr>
            <w:tcW w:w="7184" w:type="dxa"/>
            <w:shd w:val="clear" w:color="auto" w:fill="E8EFF8"/>
          </w:tcPr>
          <w:p w14:paraId="314934A0" w14:textId="77777777" w:rsidR="00192BA6" w:rsidRPr="00195051" w:rsidRDefault="00041629" w:rsidP="00126C4A">
            <w:pPr>
              <w:spacing w:before="60" w:after="60"/>
              <w:rPr>
                <w:rFonts w:eastAsia="Times New Roman" w:cs="Arial"/>
                <w:color w:val="595959"/>
              </w:rPr>
            </w:pPr>
            <w:r w:rsidRPr="00195051">
              <w:rPr>
                <w:rFonts w:eastAsia="Times New Roman" w:cs="Arial"/>
                <w:color w:val="595959"/>
              </w:rPr>
              <w:t xml:space="preserve">Plan administrators must automatically provide </w:t>
            </w:r>
            <w:r w:rsidRPr="00195051">
              <w:rPr>
                <w:rFonts w:eastAsia="Times New Roman" w:cs="Arial"/>
                <w:color w:val="595959"/>
              </w:rPr>
              <w:t>participants with the summary annual report (SAR) within nine months after the end of the plan year, or two months after the due date for filing Form 5500 (with approved extension).</w:t>
            </w:r>
          </w:p>
          <w:p w14:paraId="6074AB99" w14:textId="77777777" w:rsidR="00192BA6" w:rsidRDefault="00041629" w:rsidP="00126C4A">
            <w:pPr>
              <w:spacing w:before="60" w:after="60"/>
              <w:rPr>
                <w:rFonts w:eastAsia="Times New Roman" w:cs="Arial"/>
                <w:color w:val="595959"/>
              </w:rPr>
            </w:pPr>
            <w:r w:rsidRPr="00195051">
              <w:rPr>
                <w:rFonts w:eastAsia="Times New Roman" w:cs="Arial"/>
                <w:color w:val="595959"/>
              </w:rPr>
              <w:t>Plans that are exempt from the annual 5500 filing requirement are not requ</w:t>
            </w:r>
            <w:r w:rsidRPr="00195051">
              <w:rPr>
                <w:rFonts w:eastAsia="Times New Roman" w:cs="Arial"/>
                <w:color w:val="595959"/>
              </w:rPr>
              <w:t>ired to provide an SAR. Large, completely unfunded health plans are also generally exempt from the SAR requirement.</w:t>
            </w:r>
          </w:p>
          <w:p w14:paraId="76E805BD" w14:textId="77777777" w:rsidR="007C4836" w:rsidRDefault="00041629" w:rsidP="00126C4A">
            <w:pPr>
              <w:spacing w:before="60" w:after="60"/>
              <w:rPr>
                <w:rFonts w:eastAsia="Times New Roman" w:cs="Arial"/>
                <w:color w:val="595959"/>
              </w:rPr>
            </w:pPr>
            <w:r>
              <w:rPr>
                <w:rFonts w:eastAsia="Times New Roman" w:cs="Arial"/>
                <w:color w:val="595959"/>
              </w:rPr>
              <w:lastRenderedPageBreak/>
              <w:t xml:space="preserve">A </w:t>
            </w:r>
            <w:hyperlink r:id="rId18" w:history="1">
              <w:r w:rsidRPr="00BE213F">
                <w:rPr>
                  <w:rStyle w:val="Hyperlink"/>
                  <w:rFonts w:eastAsia="Times New Roman" w:cs="Arial"/>
                </w:rPr>
                <w:t>sample SAR for welfare plans</w:t>
              </w:r>
            </w:hyperlink>
            <w:r>
              <w:rPr>
                <w:rFonts w:eastAsia="Times New Roman" w:cs="Arial"/>
                <w:color w:val="595959"/>
              </w:rPr>
              <w:t xml:space="preserve"> is available from the DOL.</w:t>
            </w:r>
          </w:p>
          <w:p w14:paraId="3E3118D9" w14:textId="77777777" w:rsidR="00126C4A" w:rsidRPr="00126C4A" w:rsidRDefault="00041629" w:rsidP="00126C4A">
            <w:pPr>
              <w:spacing w:before="60" w:after="60"/>
              <w:rPr>
                <w:rFonts w:eastAsia="Times New Roman" w:cs="Arial"/>
                <w:i/>
                <w:color w:val="595959"/>
              </w:rPr>
            </w:pPr>
            <w:r w:rsidRPr="00126C4A">
              <w:rPr>
                <w:rFonts w:eastAsia="Times New Roman" w:cs="Arial"/>
                <w:i/>
                <w:color w:val="595959"/>
              </w:rPr>
              <w:t>Note: See COVID-19-related deadline extensions above</w:t>
            </w:r>
          </w:p>
        </w:tc>
      </w:tr>
    </w:tbl>
    <w:p w14:paraId="32581078" w14:textId="77777777" w:rsidR="00192BA6" w:rsidRDefault="00192BA6" w:rsidP="00192BA6">
      <w:pPr>
        <w:pStyle w:val="BodyText"/>
        <w:jc w:val="center"/>
      </w:pPr>
    </w:p>
    <w:tbl>
      <w:tblPr>
        <w:tblW w:w="10440" w:type="dxa"/>
        <w:tblInd w:w="270"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290"/>
        <w:gridCol w:w="1966"/>
        <w:gridCol w:w="7184"/>
      </w:tblGrid>
      <w:tr w:rsidR="00B05DD2" w14:paraId="7FAA959E" w14:textId="77777777" w:rsidTr="00192BA6">
        <w:tc>
          <w:tcPr>
            <w:tcW w:w="10440" w:type="dxa"/>
            <w:gridSpan w:val="3"/>
            <w:shd w:val="clear" w:color="auto" w:fill="5083C9"/>
          </w:tcPr>
          <w:p w14:paraId="777C8942" w14:textId="77777777" w:rsidR="00192BA6" w:rsidRPr="00195051" w:rsidRDefault="00041629" w:rsidP="00126C4A">
            <w:pPr>
              <w:pStyle w:val="BodyText"/>
              <w:tabs>
                <w:tab w:val="center" w:pos="4680"/>
                <w:tab w:val="left" w:pos="7710"/>
              </w:tabs>
              <w:spacing w:before="60" w:after="60"/>
              <w:jc w:val="left"/>
              <w:rPr>
                <w:b/>
                <w:color w:val="FFFFFF"/>
                <w:sz w:val="28"/>
                <w:szCs w:val="28"/>
              </w:rPr>
            </w:pPr>
            <w:r w:rsidRPr="007768B0">
              <w:rPr>
                <w:b/>
                <w:color w:val="FFFFFF"/>
              </w:rPr>
              <w:tab/>
            </w:r>
            <w:r w:rsidRPr="00195051">
              <w:rPr>
                <w:b/>
                <w:color w:val="FFFFFF"/>
                <w:sz w:val="28"/>
                <w:szCs w:val="28"/>
              </w:rPr>
              <w:t>OCTOBER</w:t>
            </w:r>
            <w:r w:rsidRPr="00195051">
              <w:rPr>
                <w:b/>
                <w:color w:val="FFFFFF"/>
                <w:sz w:val="28"/>
                <w:szCs w:val="28"/>
              </w:rPr>
              <w:tab/>
            </w:r>
          </w:p>
        </w:tc>
      </w:tr>
      <w:tr w:rsidR="00B05DD2" w14:paraId="445D663E" w14:textId="77777777" w:rsidTr="00192BA6">
        <w:tc>
          <w:tcPr>
            <w:tcW w:w="1290" w:type="dxa"/>
            <w:shd w:val="clear" w:color="auto" w:fill="767171"/>
          </w:tcPr>
          <w:p w14:paraId="4E3ADD49" w14:textId="77777777" w:rsidR="00192BA6" w:rsidRPr="00894829" w:rsidRDefault="00041629" w:rsidP="00126C4A">
            <w:pPr>
              <w:pStyle w:val="BodyText"/>
              <w:spacing w:before="60" w:after="60"/>
              <w:jc w:val="center"/>
              <w:rPr>
                <w:b/>
                <w:color w:val="FFFFFF"/>
              </w:rPr>
            </w:pPr>
            <w:r w:rsidRPr="00894829">
              <w:rPr>
                <w:b/>
                <w:color w:val="FFFFFF"/>
              </w:rPr>
              <w:t>DEADLINE</w:t>
            </w:r>
          </w:p>
        </w:tc>
        <w:tc>
          <w:tcPr>
            <w:tcW w:w="1966" w:type="dxa"/>
            <w:shd w:val="clear" w:color="auto" w:fill="767171"/>
          </w:tcPr>
          <w:p w14:paraId="43482258" w14:textId="77777777" w:rsidR="00192BA6" w:rsidRPr="00894829" w:rsidRDefault="00041629" w:rsidP="00126C4A">
            <w:pPr>
              <w:pStyle w:val="BodyText"/>
              <w:spacing w:before="60" w:after="60"/>
              <w:jc w:val="center"/>
              <w:rPr>
                <w:b/>
                <w:color w:val="FFFFFF"/>
              </w:rPr>
            </w:pPr>
            <w:r w:rsidRPr="00894829">
              <w:rPr>
                <w:b/>
                <w:color w:val="FFFFFF"/>
              </w:rPr>
              <w:t>REQUIREMENT</w:t>
            </w:r>
          </w:p>
        </w:tc>
        <w:tc>
          <w:tcPr>
            <w:tcW w:w="7184" w:type="dxa"/>
            <w:shd w:val="clear" w:color="auto" w:fill="767171"/>
          </w:tcPr>
          <w:p w14:paraId="415A683B" w14:textId="77777777" w:rsidR="00192BA6" w:rsidRPr="00894829" w:rsidRDefault="00041629" w:rsidP="00126C4A">
            <w:pPr>
              <w:pStyle w:val="BodyText"/>
              <w:spacing w:before="60" w:after="60"/>
              <w:jc w:val="center"/>
              <w:rPr>
                <w:b/>
                <w:color w:val="FFFFFF"/>
              </w:rPr>
            </w:pPr>
            <w:r w:rsidRPr="00894829">
              <w:rPr>
                <w:b/>
                <w:color w:val="FFFFFF"/>
              </w:rPr>
              <w:t>DESCRIPTION</w:t>
            </w:r>
          </w:p>
        </w:tc>
      </w:tr>
      <w:tr w:rsidR="00B05DD2" w14:paraId="52D0ECA1" w14:textId="77777777" w:rsidTr="00192BA6">
        <w:tc>
          <w:tcPr>
            <w:tcW w:w="1290" w:type="dxa"/>
            <w:shd w:val="clear" w:color="auto" w:fill="E8EFF8"/>
            <w:vAlign w:val="center"/>
          </w:tcPr>
          <w:p w14:paraId="4E2824F3" w14:textId="77777777" w:rsidR="00192BA6" w:rsidRPr="00192BA6" w:rsidRDefault="00041629" w:rsidP="00126C4A">
            <w:pPr>
              <w:spacing w:before="60" w:after="60"/>
              <w:jc w:val="center"/>
              <w:rPr>
                <w:rFonts w:eastAsia="Times New Roman" w:cs="Arial"/>
                <w:b/>
                <w:bCs/>
                <w:color w:val="4884A2"/>
                <w:sz w:val="24"/>
                <w:szCs w:val="24"/>
              </w:rPr>
            </w:pPr>
            <w:r w:rsidRPr="00192BA6">
              <w:rPr>
                <w:rFonts w:eastAsia="Times New Roman" w:cs="Arial"/>
                <w:b/>
                <w:bCs/>
                <w:color w:val="5083C9"/>
                <w:sz w:val="24"/>
                <w:szCs w:val="24"/>
              </w:rPr>
              <w:t>Oct. 15</w:t>
            </w:r>
          </w:p>
        </w:tc>
        <w:tc>
          <w:tcPr>
            <w:tcW w:w="1966" w:type="dxa"/>
            <w:shd w:val="clear" w:color="auto" w:fill="E8EFF8"/>
            <w:vAlign w:val="center"/>
          </w:tcPr>
          <w:p w14:paraId="751E629A" w14:textId="77777777" w:rsidR="00192BA6" w:rsidRPr="00195051" w:rsidRDefault="00041629" w:rsidP="00126C4A">
            <w:pPr>
              <w:spacing w:before="60" w:after="60"/>
              <w:jc w:val="center"/>
              <w:rPr>
                <w:rFonts w:eastAsia="Times New Roman" w:cs="Arial"/>
                <w:b/>
                <w:color w:val="595959"/>
              </w:rPr>
            </w:pPr>
            <w:r w:rsidRPr="00195051">
              <w:rPr>
                <w:rFonts w:eastAsia="Times New Roman" w:cs="Arial"/>
                <w:b/>
                <w:color w:val="595959"/>
              </w:rPr>
              <w:t>Medicare Part D—Creditable Coverage Notices</w:t>
            </w:r>
          </w:p>
        </w:tc>
        <w:tc>
          <w:tcPr>
            <w:tcW w:w="7184" w:type="dxa"/>
            <w:shd w:val="clear" w:color="auto" w:fill="E8EFF8"/>
          </w:tcPr>
          <w:p w14:paraId="29B9B677" w14:textId="77777777" w:rsidR="00192BA6" w:rsidRPr="00195051" w:rsidRDefault="00041629" w:rsidP="00126C4A">
            <w:pPr>
              <w:spacing w:before="60" w:after="60"/>
              <w:rPr>
                <w:rFonts w:eastAsia="Times New Roman" w:cs="Arial"/>
                <w:color w:val="595959"/>
              </w:rPr>
            </w:pPr>
            <w:r w:rsidRPr="00195051">
              <w:rPr>
                <w:rFonts w:eastAsia="Times New Roman" w:cs="Arial"/>
                <w:color w:val="595959"/>
              </w:rPr>
              <w:t xml:space="preserve">Group health plan sponsors that </w:t>
            </w:r>
            <w:r w:rsidRPr="00195051">
              <w:rPr>
                <w:rFonts w:eastAsia="Times New Roman" w:cs="Arial"/>
                <w:color w:val="595959"/>
              </w:rPr>
              <w:t>provide prescription drug coverage to Medicare</w:t>
            </w:r>
            <w:r>
              <w:rPr>
                <w:rFonts w:eastAsia="Times New Roman" w:cs="Arial"/>
                <w:color w:val="595959"/>
              </w:rPr>
              <w:t xml:space="preserve"> Part D </w:t>
            </w:r>
            <w:r w:rsidRPr="00195051">
              <w:rPr>
                <w:rFonts w:eastAsia="Times New Roman" w:cs="Arial"/>
                <w:color w:val="595959"/>
              </w:rPr>
              <w:t xml:space="preserve">eligible individuals must disclose whether the prescription drug coverage is creditable or not. Medicare Part D creditable coverage disclosure notices must be provided to participants before the </w:t>
            </w:r>
            <w:r w:rsidRPr="00195051">
              <w:rPr>
                <w:rFonts w:eastAsia="Times New Roman" w:cs="Arial"/>
                <w:color w:val="595959"/>
              </w:rPr>
              <w:t>start of the annual coordinated election period, which runs from Oct. 15-Dec. 7 of each year. Coverage is creditable if the actuarial value of the coverage equals or exceeds the actuarial value of coverage under Medicare Part D. This disclosure notice help</w:t>
            </w:r>
            <w:r w:rsidRPr="00195051">
              <w:rPr>
                <w:rFonts w:eastAsia="Times New Roman" w:cs="Arial"/>
                <w:color w:val="595959"/>
              </w:rPr>
              <w:t>s participants make informed and timely enrollment decisions.</w:t>
            </w:r>
          </w:p>
          <w:p w14:paraId="5499CB45" w14:textId="77777777" w:rsidR="00192BA6" w:rsidRPr="00195051" w:rsidRDefault="00041629" w:rsidP="00126C4A">
            <w:pPr>
              <w:spacing w:before="60" w:after="60"/>
              <w:rPr>
                <w:rFonts w:eastAsia="Times New Roman" w:cs="Arial"/>
                <w:color w:val="595959"/>
              </w:rPr>
            </w:pPr>
            <w:r w:rsidRPr="00195051">
              <w:rPr>
                <w:rFonts w:eastAsia="Times New Roman" w:cs="Arial"/>
                <w:color w:val="595959"/>
              </w:rPr>
              <w:t>Disclosure notices must be provided to all Part D eligible individuals who are covered under, or apply for, the plan’s prescription drug coverage, regardless of whether the prescription drug cov</w:t>
            </w:r>
            <w:r w:rsidRPr="00195051">
              <w:rPr>
                <w:rFonts w:eastAsia="Times New Roman" w:cs="Arial"/>
                <w:color w:val="595959"/>
              </w:rPr>
              <w:t>erage is primary or secondary to Medicare Part D.</w:t>
            </w:r>
          </w:p>
          <w:p w14:paraId="2B180051" w14:textId="77777777" w:rsidR="00192BA6" w:rsidRPr="00195051" w:rsidRDefault="00041629" w:rsidP="00126C4A">
            <w:pPr>
              <w:spacing w:before="60" w:after="60"/>
              <w:rPr>
                <w:rFonts w:eastAsia="Times New Roman" w:cs="Arial"/>
                <w:color w:val="595959"/>
              </w:rPr>
            </w:pPr>
            <w:r w:rsidRPr="00195051">
              <w:rPr>
                <w:rFonts w:eastAsia="Times New Roman" w:cs="Arial"/>
                <w:color w:val="595959"/>
              </w:rPr>
              <w:t xml:space="preserve">Model disclosure notices are available on CMS’ </w:t>
            </w:r>
            <w:hyperlink r:id="rId19" w:history="1">
              <w:r w:rsidRPr="00195051">
                <w:rPr>
                  <w:rStyle w:val="Hyperlink"/>
                  <w:rFonts w:eastAsia="Times New Roman" w:cs="Arial"/>
                </w:rPr>
                <w:t>website</w:t>
              </w:r>
            </w:hyperlink>
            <w:r w:rsidRPr="00195051">
              <w:rPr>
                <w:rFonts w:eastAsia="Times New Roman" w:cs="Arial"/>
                <w:color w:val="595959"/>
              </w:rPr>
              <w:t xml:space="preserve">. </w:t>
            </w:r>
          </w:p>
        </w:tc>
      </w:tr>
    </w:tbl>
    <w:p w14:paraId="3412C816" w14:textId="77777777" w:rsidR="00192BA6" w:rsidRDefault="00192BA6" w:rsidP="00192BA6">
      <w:pPr>
        <w:pStyle w:val="BodyText"/>
        <w:jc w:val="center"/>
      </w:pPr>
    </w:p>
    <w:tbl>
      <w:tblPr>
        <w:tblW w:w="10440" w:type="dxa"/>
        <w:tblInd w:w="270"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980"/>
        <w:gridCol w:w="8460"/>
      </w:tblGrid>
      <w:tr w:rsidR="00B05DD2" w14:paraId="3DDEAB4C" w14:textId="77777777" w:rsidTr="00192BA6">
        <w:trPr>
          <w:tblHeader/>
        </w:trPr>
        <w:tc>
          <w:tcPr>
            <w:tcW w:w="10440" w:type="dxa"/>
            <w:gridSpan w:val="2"/>
            <w:shd w:val="clear" w:color="auto" w:fill="5083C9"/>
          </w:tcPr>
          <w:p w14:paraId="4F92C789" w14:textId="77777777" w:rsidR="00192BA6" w:rsidRDefault="00041629" w:rsidP="00126C4A">
            <w:pPr>
              <w:pStyle w:val="BodyText"/>
              <w:spacing w:before="60" w:after="60"/>
              <w:jc w:val="center"/>
              <w:rPr>
                <w:b/>
                <w:color w:val="FFFFFF"/>
                <w:sz w:val="28"/>
                <w:szCs w:val="28"/>
              </w:rPr>
            </w:pPr>
            <w:r>
              <w:rPr>
                <w:sz w:val="20"/>
              </w:rPr>
              <w:br w:type="page"/>
            </w:r>
            <w:r>
              <w:rPr>
                <w:sz w:val="20"/>
              </w:rPr>
              <w:br w:type="page"/>
            </w:r>
            <w:r>
              <w:rPr>
                <w:b/>
                <w:color w:val="FFFFFF"/>
                <w:sz w:val="28"/>
                <w:szCs w:val="28"/>
              </w:rPr>
              <w:t>ANNUAL NOTICES</w:t>
            </w:r>
          </w:p>
          <w:p w14:paraId="4CFDC0EA" w14:textId="77777777" w:rsidR="00126C4A" w:rsidRPr="00126C4A" w:rsidRDefault="00041629" w:rsidP="00126C4A">
            <w:pPr>
              <w:pStyle w:val="BodyText"/>
              <w:spacing w:before="60" w:after="60"/>
              <w:jc w:val="center"/>
              <w:rPr>
                <w:b/>
                <w:i/>
                <w:color w:val="FFFFFF"/>
                <w:sz w:val="28"/>
                <w:szCs w:val="28"/>
              </w:rPr>
            </w:pPr>
            <w:r w:rsidRPr="00126C4A">
              <w:rPr>
                <w:b/>
                <w:i/>
                <w:color w:val="FFFFFF"/>
                <w:sz w:val="28"/>
                <w:szCs w:val="28"/>
              </w:rPr>
              <w:t xml:space="preserve">Note: See </w:t>
            </w:r>
            <w:r w:rsidRPr="00126C4A">
              <w:rPr>
                <w:b/>
                <w:i/>
                <w:color w:val="FFFFFF"/>
                <w:sz w:val="28"/>
                <w:szCs w:val="28"/>
              </w:rPr>
              <w:t>COVID-19-related deadline extensions above</w:t>
            </w:r>
          </w:p>
        </w:tc>
      </w:tr>
      <w:tr w:rsidR="00B05DD2" w14:paraId="11A4FB0F" w14:textId="77777777" w:rsidTr="007363CB">
        <w:trPr>
          <w:tblHeader/>
        </w:trPr>
        <w:tc>
          <w:tcPr>
            <w:tcW w:w="1980" w:type="dxa"/>
            <w:shd w:val="clear" w:color="auto" w:fill="767171"/>
          </w:tcPr>
          <w:p w14:paraId="225E57BB" w14:textId="77777777" w:rsidR="00192BA6" w:rsidRPr="00894829" w:rsidRDefault="00041629" w:rsidP="00126C4A">
            <w:pPr>
              <w:pStyle w:val="BodyText"/>
              <w:spacing w:before="60" w:after="60"/>
              <w:jc w:val="center"/>
              <w:rPr>
                <w:b/>
                <w:color w:val="FFFFFF"/>
              </w:rPr>
            </w:pPr>
            <w:r>
              <w:rPr>
                <w:b/>
                <w:color w:val="FFFFFF"/>
              </w:rPr>
              <w:t>TYPE OF NOTICE</w:t>
            </w:r>
          </w:p>
        </w:tc>
        <w:tc>
          <w:tcPr>
            <w:tcW w:w="8460" w:type="dxa"/>
            <w:shd w:val="clear" w:color="auto" w:fill="767171"/>
          </w:tcPr>
          <w:p w14:paraId="18586199" w14:textId="77777777" w:rsidR="00192BA6" w:rsidRPr="00894829" w:rsidRDefault="00041629" w:rsidP="00126C4A">
            <w:pPr>
              <w:pStyle w:val="BodyText"/>
              <w:spacing w:before="60" w:after="60"/>
              <w:jc w:val="center"/>
              <w:rPr>
                <w:b/>
                <w:color w:val="FFFFFF"/>
              </w:rPr>
            </w:pPr>
            <w:r w:rsidRPr="00894829">
              <w:rPr>
                <w:b/>
                <w:color w:val="FFFFFF"/>
              </w:rPr>
              <w:t>DESCRIPTION</w:t>
            </w:r>
          </w:p>
        </w:tc>
      </w:tr>
      <w:tr w:rsidR="00B05DD2" w14:paraId="329B885E" w14:textId="77777777" w:rsidTr="007363CB">
        <w:tc>
          <w:tcPr>
            <w:tcW w:w="1980" w:type="dxa"/>
            <w:shd w:val="clear" w:color="auto" w:fill="E8EFF8"/>
            <w:vAlign w:val="center"/>
          </w:tcPr>
          <w:p w14:paraId="01402513" w14:textId="77777777" w:rsidR="00192BA6" w:rsidRPr="00282825" w:rsidRDefault="00041629" w:rsidP="00126C4A">
            <w:pPr>
              <w:spacing w:before="60" w:after="60"/>
              <w:jc w:val="center"/>
              <w:rPr>
                <w:rFonts w:eastAsia="Times New Roman" w:cs="Arial"/>
                <w:b/>
                <w:color w:val="4884A2"/>
                <w:sz w:val="24"/>
                <w:szCs w:val="24"/>
              </w:rPr>
            </w:pPr>
            <w:r w:rsidRPr="00282825">
              <w:rPr>
                <w:rFonts w:eastAsia="Times New Roman" w:cs="Arial"/>
                <w:b/>
                <w:color w:val="5083C9"/>
                <w:sz w:val="24"/>
                <w:szCs w:val="24"/>
              </w:rPr>
              <w:t>WHCRA Notice</w:t>
            </w:r>
          </w:p>
        </w:tc>
        <w:tc>
          <w:tcPr>
            <w:tcW w:w="8460" w:type="dxa"/>
            <w:shd w:val="clear" w:color="auto" w:fill="E8EFF8"/>
          </w:tcPr>
          <w:p w14:paraId="14DB0D57" w14:textId="77777777" w:rsidR="00126C4A" w:rsidRPr="00195051" w:rsidRDefault="00041629" w:rsidP="00126C4A">
            <w:pPr>
              <w:pStyle w:val="BodyText"/>
              <w:spacing w:before="60" w:after="60"/>
            </w:pPr>
            <w:r>
              <w:t>The Women’s Health and Cancer Rights Act (WHCRA) requires group health plans that provide medical and surgical benefits for mastectomies to also provide benefits for reconstructive surgery. Group health plans must provide a notice about the WHCRA’s coverag</w:t>
            </w:r>
            <w:r>
              <w:t xml:space="preserve">e requirements at the time of enrollment and on an annual basis after enrollment. </w:t>
            </w:r>
            <w:r w:rsidRPr="00E20566">
              <w:t xml:space="preserve">The initial enrollment notice requirement can be satisfied by including information on WHCRA’s coverage requirements in the plan’s summary plan description (SPD). The annual </w:t>
            </w:r>
            <w:r w:rsidRPr="00E20566">
              <w:t>WHCRA notice can be provided at any time during the year. Employers with open enrollment periods often include the annual notice with their open enrollment materials. Employers that redistribute their SPDs each year can satisfy the annual notice requiremen</w:t>
            </w:r>
            <w:r w:rsidRPr="00E20566">
              <w:t xml:space="preserve">t by including the WHCRA notice in their SPDs. </w:t>
            </w:r>
            <w:r>
              <w:t xml:space="preserve">Model language is available in the DOL’s </w:t>
            </w:r>
            <w:hyperlink r:id="rId20" w:history="1">
              <w:r w:rsidRPr="00EB551D">
                <w:rPr>
                  <w:rStyle w:val="Hyperlink"/>
                </w:rPr>
                <w:t>compliance assistance g</w:t>
              </w:r>
              <w:r w:rsidRPr="00EB551D">
                <w:rPr>
                  <w:rStyle w:val="Hyperlink"/>
                </w:rPr>
                <w:t>uide</w:t>
              </w:r>
            </w:hyperlink>
            <w:r>
              <w:t>.</w:t>
            </w:r>
          </w:p>
        </w:tc>
      </w:tr>
      <w:tr w:rsidR="00B05DD2" w14:paraId="5ABAE1B3" w14:textId="77777777" w:rsidTr="007363CB">
        <w:tc>
          <w:tcPr>
            <w:tcW w:w="1980" w:type="dxa"/>
            <w:shd w:val="clear" w:color="auto" w:fill="E8EFF8"/>
            <w:vAlign w:val="center"/>
          </w:tcPr>
          <w:p w14:paraId="13CB4140"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lastRenderedPageBreak/>
              <w:t xml:space="preserve">CHIP Notice </w:t>
            </w:r>
          </w:p>
        </w:tc>
        <w:tc>
          <w:tcPr>
            <w:tcW w:w="8460" w:type="dxa"/>
            <w:shd w:val="clear" w:color="auto" w:fill="E8EFF8"/>
          </w:tcPr>
          <w:p w14:paraId="7792EDD4" w14:textId="77777777" w:rsidR="00126C4A" w:rsidRPr="00195051" w:rsidRDefault="00041629" w:rsidP="00126C4A">
            <w:pPr>
              <w:pStyle w:val="BodyText"/>
              <w:spacing w:before="60" w:after="60"/>
            </w:pPr>
            <w:r>
              <w:t xml:space="preserve">If an employer’s group health plan covers residents in a state that provides a premium subsidy under a Medicaid plan or CHIP, the employer must send an annual notice about the available assistance to all employees residing in </w:t>
            </w:r>
            <w:r>
              <w:t>that state. The annual CHIP notice can be provided at any time during the year. Employers with annual enrollment periods often provide the CHIP notice with their open enrollment materials. The DOL</w:t>
            </w:r>
            <w:r w:rsidRPr="00F342D8">
              <w:t xml:space="preserve"> has a </w:t>
            </w:r>
            <w:hyperlink r:id="rId21" w:history="1">
              <w:r w:rsidRPr="00F342D8">
                <w:rPr>
                  <w:rStyle w:val="Hyperlink"/>
                </w:rPr>
                <w:t>model notice</w:t>
              </w:r>
            </w:hyperlink>
            <w:r w:rsidRPr="00F342D8">
              <w:t xml:space="preserve"> that employers may use.</w:t>
            </w:r>
          </w:p>
        </w:tc>
      </w:tr>
      <w:tr w:rsidR="00B05DD2" w14:paraId="5D798E2F" w14:textId="77777777" w:rsidTr="007363CB">
        <w:tc>
          <w:tcPr>
            <w:tcW w:w="1980" w:type="dxa"/>
            <w:shd w:val="clear" w:color="auto" w:fill="E8EFF8"/>
            <w:vAlign w:val="center"/>
          </w:tcPr>
          <w:p w14:paraId="4E71860A"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t>Summary of Benefits and Coverage (SBC)</w:t>
            </w:r>
          </w:p>
        </w:tc>
        <w:tc>
          <w:tcPr>
            <w:tcW w:w="8460" w:type="dxa"/>
            <w:shd w:val="clear" w:color="auto" w:fill="E8EFF8"/>
          </w:tcPr>
          <w:p w14:paraId="74300AB1" w14:textId="77777777" w:rsidR="00B22ADC" w:rsidRDefault="00041629" w:rsidP="00126C4A">
            <w:pPr>
              <w:pStyle w:val="BodyText"/>
              <w:spacing w:before="60" w:after="60"/>
            </w:pPr>
            <w:r w:rsidRPr="00F342D8">
              <w:t>Group health plans and health insurance issuers are required to provide an SBC to applicants and enrollees each year at o</w:t>
            </w:r>
            <w:r w:rsidRPr="00F342D8">
              <w:t xml:space="preserve">pen enrollment or renewal time. The purpose of the SBC is to allow individuals to easily compare their options when they are shopping for or enrolling in health plan coverage. </w:t>
            </w:r>
          </w:p>
          <w:p w14:paraId="72171911" w14:textId="77777777" w:rsidR="007363CB" w:rsidRPr="00B22ADC" w:rsidRDefault="00041629" w:rsidP="00126C4A">
            <w:pPr>
              <w:pStyle w:val="BodyText"/>
              <w:spacing w:before="60" w:after="60"/>
              <w:rPr>
                <w:b/>
              </w:rPr>
            </w:pPr>
            <w:r w:rsidRPr="00F342D8">
              <w:t xml:space="preserve">Federal agencies have provided a </w:t>
            </w:r>
            <w:hyperlink r:id="rId22" w:history="1">
              <w:r w:rsidRPr="00583A78">
                <w:rPr>
                  <w:rStyle w:val="Hyperlink"/>
                </w:rPr>
                <w:t>template</w:t>
              </w:r>
            </w:hyperlink>
            <w:r w:rsidRPr="00F342D8">
              <w:t xml:space="preserve"> for the SBC, which health plans and issuers are required to use. </w:t>
            </w:r>
            <w:r w:rsidR="00B22ADC" w:rsidRPr="00B22ADC">
              <w:t>On Nov. 8, 2019,</w:t>
            </w:r>
            <w:r w:rsidR="00B22ADC">
              <w:t xml:space="preserve"> federal agencies </w:t>
            </w:r>
            <w:r w:rsidR="00B22ADC" w:rsidRPr="00B22ADC">
              <w:t xml:space="preserve">issued an </w:t>
            </w:r>
            <w:r w:rsidR="00B22ADC" w:rsidRPr="00B22ADC">
              <w:rPr>
                <w:b/>
              </w:rPr>
              <w:t>updated SBC template</w:t>
            </w:r>
            <w:r w:rsidR="00B22ADC" w:rsidRPr="00B22ADC">
              <w:t xml:space="preserve"> and related materials. These</w:t>
            </w:r>
            <w:r w:rsidR="00B22ADC">
              <w:t xml:space="preserve"> updated</w:t>
            </w:r>
            <w:r w:rsidR="00B22ADC" w:rsidRPr="00B22ADC">
              <w:t xml:space="preserve"> materials are required to be used for </w:t>
            </w:r>
            <w:r w:rsidR="00B22ADC" w:rsidRPr="00B22ADC">
              <w:rPr>
                <w:b/>
              </w:rPr>
              <w:t>plan years beginning on or after Jan. 1, 2021.</w:t>
            </w:r>
          </w:p>
          <w:p w14:paraId="7B29893F" w14:textId="77777777" w:rsidR="00192BA6" w:rsidRPr="00F342D8" w:rsidRDefault="00041629" w:rsidP="00126C4A">
            <w:pPr>
              <w:pStyle w:val="BodyText"/>
              <w:spacing w:before="60" w:after="60"/>
            </w:pPr>
            <w:r w:rsidRPr="00F342D8">
              <w:t>The issuer for fully insured plans usually prepares the SBC. If the issuer prepares the SBC, an employer is not also required to prepare an SBC for the he</w:t>
            </w:r>
            <w:r w:rsidRPr="00F342D8">
              <w:t xml:space="preserve">alth plan, although the employer may need to distribute the SBC prepared by the issuer. </w:t>
            </w:r>
          </w:p>
          <w:p w14:paraId="038341A2" w14:textId="77777777" w:rsidR="00126C4A" w:rsidRDefault="00041629" w:rsidP="00126C4A">
            <w:pPr>
              <w:pStyle w:val="BodyText"/>
              <w:spacing w:before="60" w:after="60"/>
            </w:pPr>
            <w:r w:rsidRPr="00F342D8">
              <w:t>The SBC must be included in open enrollment materials. If renewal is automatic, the SBC must be provided no later than 30 days prior to the first day of the new plan y</w:t>
            </w:r>
            <w:r w:rsidRPr="00F342D8">
              <w:t>ear. However, for insured plans, if the new policy has not yet been issued 30 days prior to the beginning of the plan year, the SBC must be provided as soon as practicable, but no later than seven business days after the issuance of the policy.</w:t>
            </w:r>
          </w:p>
        </w:tc>
      </w:tr>
      <w:tr w:rsidR="00B05DD2" w14:paraId="3FA49781" w14:textId="77777777" w:rsidTr="007363CB">
        <w:tc>
          <w:tcPr>
            <w:tcW w:w="1980" w:type="dxa"/>
            <w:shd w:val="clear" w:color="auto" w:fill="E8EFF8"/>
            <w:vAlign w:val="center"/>
          </w:tcPr>
          <w:p w14:paraId="1B5092F8"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t>Grandfathe</w:t>
            </w:r>
            <w:r w:rsidRPr="00282825">
              <w:rPr>
                <w:rFonts w:eastAsia="Times New Roman" w:cs="Arial"/>
                <w:b/>
                <w:color w:val="5083C9"/>
                <w:sz w:val="24"/>
                <w:szCs w:val="24"/>
              </w:rPr>
              <w:t>red Plan Notice</w:t>
            </w:r>
          </w:p>
        </w:tc>
        <w:tc>
          <w:tcPr>
            <w:tcW w:w="8460" w:type="dxa"/>
            <w:shd w:val="clear" w:color="auto" w:fill="E8EFF8"/>
          </w:tcPr>
          <w:p w14:paraId="7D22EB2A" w14:textId="77777777" w:rsidR="00192BA6" w:rsidRPr="00F342D8" w:rsidRDefault="00041629" w:rsidP="00126C4A">
            <w:pPr>
              <w:pStyle w:val="BodyText"/>
              <w:spacing w:before="60" w:after="60"/>
            </w:pPr>
            <w:r w:rsidRPr="00583A78">
              <w:t>To maintain a plan’s grandfathered status, the plan sponsor or must include a statement of the plan’s grandfathered status in plan materials provided to participants describing the plan’s benefits (such as the summary plan description, insu</w:t>
            </w:r>
            <w:r w:rsidRPr="00583A78">
              <w:t xml:space="preserve">rance certificate and open enrollment materials). The DOL has provided a </w:t>
            </w:r>
            <w:hyperlink r:id="rId23" w:history="1">
              <w:r w:rsidRPr="00583A78">
                <w:rPr>
                  <w:rStyle w:val="Hyperlink"/>
                </w:rPr>
                <w:t>model no</w:t>
              </w:r>
              <w:r w:rsidRPr="00583A78">
                <w:rPr>
                  <w:rStyle w:val="Hyperlink"/>
                </w:rPr>
                <w:t>tice</w:t>
              </w:r>
            </w:hyperlink>
            <w:r w:rsidRPr="00583A78">
              <w:t xml:space="preserve"> for grandfathered plans.</w:t>
            </w:r>
            <w:r>
              <w:t xml:space="preserve"> </w:t>
            </w:r>
            <w:r w:rsidRPr="00583A78">
              <w:rPr>
                <w:i/>
              </w:rPr>
              <w:t>This notice only applies to plans that have grandfathered status under the ACA.</w:t>
            </w:r>
            <w:r>
              <w:t xml:space="preserve"> </w:t>
            </w:r>
          </w:p>
        </w:tc>
      </w:tr>
      <w:tr w:rsidR="00B05DD2" w14:paraId="5AF45063" w14:textId="77777777" w:rsidTr="007363CB">
        <w:tc>
          <w:tcPr>
            <w:tcW w:w="1980" w:type="dxa"/>
            <w:shd w:val="clear" w:color="auto" w:fill="E8EFF8"/>
            <w:vAlign w:val="center"/>
          </w:tcPr>
          <w:p w14:paraId="28550369"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t>Notice of Patient Protections</w:t>
            </w:r>
          </w:p>
        </w:tc>
        <w:tc>
          <w:tcPr>
            <w:tcW w:w="8460" w:type="dxa"/>
            <w:shd w:val="clear" w:color="auto" w:fill="E8EFF8"/>
          </w:tcPr>
          <w:p w14:paraId="60709AED" w14:textId="77777777" w:rsidR="00192BA6" w:rsidRPr="00583A78" w:rsidRDefault="00041629" w:rsidP="00126C4A">
            <w:pPr>
              <w:pStyle w:val="BodyText"/>
              <w:spacing w:before="60" w:after="60"/>
            </w:pPr>
            <w:r>
              <w:t>If a non-grandfathered plan requires participants to designate a participating primary care provider, the plan or issuer must provide a notice of patient protections whenever the SPD or similar description of benefits is provided to a participant. This not</w:t>
            </w:r>
            <w:r>
              <w:t xml:space="preserve">ice is often included in the SPD or insurance certificate provided by the issuer (or otherwise provided with enrollment materials).  The DOL provided a </w:t>
            </w:r>
            <w:hyperlink r:id="rId24" w:history="1">
              <w:r w:rsidRPr="00583A78">
                <w:rPr>
                  <w:rStyle w:val="Hyperlink"/>
                </w:rPr>
                <w:t>model notice</w:t>
              </w:r>
            </w:hyperlink>
            <w:r>
              <w:t xml:space="preserve"> of patient protections for plans and issuers to use.</w:t>
            </w:r>
          </w:p>
        </w:tc>
      </w:tr>
      <w:tr w:rsidR="00B05DD2" w14:paraId="73C3C7A1" w14:textId="77777777" w:rsidTr="007363CB">
        <w:tc>
          <w:tcPr>
            <w:tcW w:w="1980" w:type="dxa"/>
            <w:shd w:val="clear" w:color="auto" w:fill="E8EFF8"/>
            <w:vAlign w:val="center"/>
          </w:tcPr>
          <w:p w14:paraId="69BCBB15"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lastRenderedPageBreak/>
              <w:t>HIPAA Privacy Notice</w:t>
            </w:r>
          </w:p>
        </w:tc>
        <w:tc>
          <w:tcPr>
            <w:tcW w:w="8460" w:type="dxa"/>
            <w:shd w:val="clear" w:color="auto" w:fill="E8EFF8"/>
          </w:tcPr>
          <w:p w14:paraId="0861FBA9" w14:textId="77777777" w:rsidR="00192BA6" w:rsidRDefault="00041629" w:rsidP="00126C4A">
            <w:pPr>
              <w:pStyle w:val="BodyText"/>
              <w:spacing w:before="60" w:after="60"/>
            </w:pPr>
            <w:r>
              <w:t xml:space="preserve">The HIPAA Privacy Rule requires self-insured health plans to maintain and provide their own </w:t>
            </w:r>
            <w:r>
              <w:t>privacy notices. Special rules, however, apply for fully insured plans. Under these rules, the health insurance issuer, and not the health plan itself, is primarily responsible for the privacy notice.</w:t>
            </w:r>
          </w:p>
          <w:p w14:paraId="32002C81" w14:textId="77777777" w:rsidR="00192BA6" w:rsidRDefault="00041629" w:rsidP="00126C4A">
            <w:pPr>
              <w:pStyle w:val="BodyText"/>
              <w:spacing w:before="60" w:after="60"/>
            </w:pPr>
            <w:r>
              <w:t>Self-insured health plans are required to send the priv</w:t>
            </w:r>
            <w:r>
              <w:t>acy notice at certain times, including to new enrollees at the time of enrollment. Thus, the privacy notice should be provided with the plan’s open enrollment materials. Also, at least once every three years, health plans must either redistribute the priva</w:t>
            </w:r>
            <w:r>
              <w:t xml:space="preserve">cy notice or notify participants that the privacy notice is available and explain how to obtain a copy. </w:t>
            </w:r>
          </w:p>
          <w:p w14:paraId="4BB82DD9" w14:textId="77777777" w:rsidR="00192BA6" w:rsidRDefault="00041629" w:rsidP="00126C4A">
            <w:pPr>
              <w:pStyle w:val="BodyText"/>
              <w:spacing w:before="60" w:after="60"/>
            </w:pPr>
            <w:r>
              <w:t xml:space="preserve">The Department of Health and Human Services (HHS) has </w:t>
            </w:r>
            <w:hyperlink r:id="rId25" w:history="1">
              <w:r w:rsidRPr="00583A78">
                <w:rPr>
                  <w:rStyle w:val="Hyperlink"/>
                </w:rPr>
                <w:t>model Privacy Notices</w:t>
              </w:r>
            </w:hyperlink>
            <w:r>
              <w:t xml:space="preserve"> for health plans to choose from.</w:t>
            </w:r>
          </w:p>
        </w:tc>
      </w:tr>
      <w:tr w:rsidR="00B05DD2" w14:paraId="31C3CD05" w14:textId="77777777" w:rsidTr="007363CB">
        <w:tc>
          <w:tcPr>
            <w:tcW w:w="1980" w:type="dxa"/>
            <w:shd w:val="clear" w:color="auto" w:fill="E8EFF8"/>
            <w:vAlign w:val="center"/>
          </w:tcPr>
          <w:p w14:paraId="38CE579C"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t>HIPAA Special Enrollment Notice</w:t>
            </w:r>
          </w:p>
        </w:tc>
        <w:tc>
          <w:tcPr>
            <w:tcW w:w="8460" w:type="dxa"/>
            <w:shd w:val="clear" w:color="auto" w:fill="E8EFF8"/>
          </w:tcPr>
          <w:p w14:paraId="5F03D9B5" w14:textId="77777777" w:rsidR="00192BA6" w:rsidRDefault="00041629" w:rsidP="00126C4A">
            <w:pPr>
              <w:pStyle w:val="BodyText"/>
              <w:spacing w:before="60" w:after="60"/>
            </w:pPr>
            <w:r w:rsidRPr="00583A78">
              <w:t>At or prior to the time of enrollment, a group health plan must provide each eligible employee with a notice of his or her special enrollment rig</w:t>
            </w:r>
            <w:r w:rsidRPr="00583A78">
              <w:t>hts under HIPAA. This notice should be included with the plan’s enrollment materials. It is often included in the health plan’s SPD or insurance booklet.</w:t>
            </w:r>
            <w:r>
              <w:t xml:space="preserve"> Model</w:t>
            </w:r>
            <w:r w:rsidRPr="00583A78">
              <w:t xml:space="preserve"> language is available in the DOL’s </w:t>
            </w:r>
            <w:hyperlink r:id="rId26" w:history="1">
              <w:r w:rsidRPr="00583A78">
                <w:rPr>
                  <w:rStyle w:val="Hyperlink"/>
                </w:rPr>
                <w:t>compliance assistance guide</w:t>
              </w:r>
            </w:hyperlink>
            <w:r w:rsidRPr="00583A78">
              <w:t xml:space="preserve">.  </w:t>
            </w:r>
          </w:p>
        </w:tc>
      </w:tr>
      <w:tr w:rsidR="00B05DD2" w14:paraId="6A6C704F" w14:textId="77777777" w:rsidTr="007363CB">
        <w:tc>
          <w:tcPr>
            <w:tcW w:w="1980" w:type="dxa"/>
            <w:shd w:val="clear" w:color="auto" w:fill="E8EFF8"/>
            <w:vAlign w:val="center"/>
          </w:tcPr>
          <w:p w14:paraId="3F9D119B"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t>Wellness Notice HIPAA</w:t>
            </w:r>
          </w:p>
        </w:tc>
        <w:tc>
          <w:tcPr>
            <w:tcW w:w="8460" w:type="dxa"/>
            <w:shd w:val="clear" w:color="auto" w:fill="E8EFF8"/>
          </w:tcPr>
          <w:p w14:paraId="07B94A84" w14:textId="77777777" w:rsidR="00192BA6" w:rsidRPr="00583A78" w:rsidRDefault="00041629" w:rsidP="00126C4A">
            <w:pPr>
              <w:pStyle w:val="BodyText"/>
              <w:spacing w:before="60" w:after="60"/>
            </w:pPr>
            <w:r w:rsidRPr="00583A78">
              <w:t>Employers with health-contingent wellness programs must provide a notice that informs employees that there is an al</w:t>
            </w:r>
            <w:r w:rsidRPr="00583A78">
              <w:t>ternative way to qualify for the program’s reward. This notice must be included in all plan materials that describe the terms of the wellness program. If wellness program materials are being distributed at open enrollment (or renewal time), this notice sho</w:t>
            </w:r>
            <w:r w:rsidRPr="00583A78">
              <w:t xml:space="preserve">uld be included with those materials. Sample language is available in the DOL’s </w:t>
            </w:r>
            <w:hyperlink r:id="rId27" w:history="1">
              <w:r w:rsidRPr="00583A78">
                <w:rPr>
                  <w:rStyle w:val="Hyperlink"/>
                </w:rPr>
                <w:t>compliance assistance guide</w:t>
              </w:r>
            </w:hyperlink>
            <w:r w:rsidRPr="00583A78">
              <w:t>.</w:t>
            </w:r>
            <w:r w:rsidRPr="00583A78">
              <w:t xml:space="preserve">  </w:t>
            </w:r>
          </w:p>
        </w:tc>
      </w:tr>
      <w:tr w:rsidR="00B05DD2" w14:paraId="7C11F1D8" w14:textId="77777777" w:rsidTr="007363CB">
        <w:tc>
          <w:tcPr>
            <w:tcW w:w="1980" w:type="dxa"/>
            <w:shd w:val="clear" w:color="auto" w:fill="E8EFF8"/>
            <w:vAlign w:val="center"/>
          </w:tcPr>
          <w:p w14:paraId="5D1D760B" w14:textId="77777777" w:rsidR="00192BA6" w:rsidRPr="00282825" w:rsidRDefault="00041629" w:rsidP="00126C4A">
            <w:pPr>
              <w:spacing w:before="60" w:after="60"/>
              <w:jc w:val="center"/>
              <w:rPr>
                <w:rFonts w:eastAsia="Times New Roman" w:cs="Arial"/>
                <w:b/>
                <w:color w:val="5083C9"/>
                <w:sz w:val="24"/>
                <w:szCs w:val="24"/>
              </w:rPr>
            </w:pPr>
            <w:r w:rsidRPr="00282825">
              <w:rPr>
                <w:rFonts w:eastAsia="Times New Roman" w:cs="Arial"/>
                <w:b/>
                <w:color w:val="5083C9"/>
                <w:sz w:val="24"/>
                <w:szCs w:val="24"/>
              </w:rPr>
              <w:t>Wellness Notice ADA</w:t>
            </w:r>
          </w:p>
        </w:tc>
        <w:tc>
          <w:tcPr>
            <w:tcW w:w="8460" w:type="dxa"/>
            <w:shd w:val="clear" w:color="auto" w:fill="E8EFF8"/>
          </w:tcPr>
          <w:p w14:paraId="4E465AB0" w14:textId="77777777" w:rsidR="00192BA6" w:rsidRPr="00583A78" w:rsidRDefault="00041629" w:rsidP="00126C4A">
            <w:pPr>
              <w:pStyle w:val="BodyText"/>
              <w:spacing w:before="60" w:after="60"/>
            </w:pPr>
            <w:r w:rsidRPr="00583A78">
              <w:t xml:space="preserve">To comply with the Americans with Disabilities Act (ADA), wellness plans that collect health information or involve medical exams must provide a notice to employees that explains how the information will be used, collected and kept </w:t>
            </w:r>
            <w:r w:rsidRPr="00583A78">
              <w:t>confidential. Employees must receive this notice before providing any health information and with enough time to decide whether to participate in the program. Employers that are implementing a wellness program for the upcoming plan year should include this</w:t>
            </w:r>
            <w:r w:rsidRPr="00583A78">
              <w:t xml:space="preserve"> notice in their open enrollment materials. The Equal Employment Opportunity Commission has provided a </w:t>
            </w:r>
            <w:hyperlink r:id="rId28" w:history="1">
              <w:r w:rsidRPr="00583A78">
                <w:rPr>
                  <w:rStyle w:val="Hyperlink"/>
                </w:rPr>
                <w:t>sample notice</w:t>
              </w:r>
            </w:hyperlink>
            <w:r w:rsidRPr="00583A78">
              <w:t xml:space="preserve"> for employers to use.</w:t>
            </w:r>
          </w:p>
        </w:tc>
      </w:tr>
    </w:tbl>
    <w:p w14:paraId="5777D87D" w14:textId="77777777" w:rsidR="00192BA6" w:rsidRDefault="00192BA6" w:rsidP="00192BA6">
      <w:pPr>
        <w:pStyle w:val="BodyText"/>
        <w:jc w:val="center"/>
      </w:pPr>
    </w:p>
    <w:p w14:paraId="2BB91857" w14:textId="77777777" w:rsidR="00192BA6" w:rsidRDefault="00192BA6" w:rsidP="00C84C66">
      <w:pPr>
        <w:pStyle w:val="BodyText"/>
      </w:pPr>
    </w:p>
    <w:p w14:paraId="76E78EC7" w14:textId="77777777" w:rsidR="00192BA6" w:rsidRDefault="00192BA6" w:rsidP="00C84C66">
      <w:pPr>
        <w:pStyle w:val="BodyText"/>
      </w:pPr>
    </w:p>
    <w:p w14:paraId="2C5D6BF2" w14:textId="77777777" w:rsidR="00192BA6" w:rsidRDefault="00192BA6" w:rsidP="00C84C66">
      <w:pPr>
        <w:pStyle w:val="BodyText"/>
      </w:pPr>
    </w:p>
    <w:sectPr w:rsidR="00192BA6" w:rsidSect="00C84C66">
      <w:headerReference w:type="default" r:id="rId29"/>
      <w:footerReference w:type="default" r:id="rId30"/>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1DA2F" w14:textId="77777777" w:rsidR="00000000" w:rsidRDefault="00041629">
      <w:pPr>
        <w:spacing w:after="0" w:line="240" w:lineRule="auto"/>
      </w:pPr>
      <w:r>
        <w:separator/>
      </w:r>
    </w:p>
  </w:endnote>
  <w:endnote w:type="continuationSeparator" w:id="0">
    <w:p w14:paraId="2B1271CF" w14:textId="77777777" w:rsidR="00000000" w:rsidRDefault="0004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6215" w14:textId="77777777" w:rsidR="00551356" w:rsidRDefault="00041629">
    <w:pPr>
      <w:pStyle w:val="Footer"/>
    </w:pPr>
    <w:r>
      <w:rPr>
        <w:noProof/>
      </w:rPr>
      <mc:AlternateContent>
        <mc:Choice Requires="wps">
          <w:drawing>
            <wp:anchor distT="0" distB="0" distL="114300" distR="114300" simplePos="0" relativeHeight="251665408" behindDoc="0" locked="0" layoutInCell="1" allowOverlap="1" wp14:anchorId="25A24DE9" wp14:editId="5E93B025">
              <wp:simplePos x="0" y="0"/>
              <wp:positionH relativeFrom="margin">
                <wp:posOffset>0</wp:posOffset>
              </wp:positionH>
              <wp:positionV relativeFrom="margin">
                <wp:posOffset>5975536</wp:posOffset>
              </wp:positionV>
              <wp:extent cx="6849035" cy="8965"/>
              <wp:effectExtent l="19050" t="19050" r="9525" b="29210"/>
              <wp:wrapNone/>
              <wp:docPr id="1144699305" name="Straight Connector 1"/>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64384" behindDoc="1" locked="0" layoutInCell="1" allowOverlap="1" wp14:anchorId="62D966BD" wp14:editId="49473EB2">
          <wp:simplePos x="0" y="0"/>
          <wp:positionH relativeFrom="page">
            <wp:posOffset>0</wp:posOffset>
          </wp:positionH>
          <wp:positionV relativeFrom="paragraph">
            <wp:posOffset>1492575</wp:posOffset>
          </wp:positionV>
          <wp:extent cx="7772400" cy="63093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29839CF0" w14:textId="77777777" w:rsidR="00A95ADA" w:rsidRDefault="000416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85F0E"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5E04F" w14:textId="77777777" w:rsidR="00000000" w:rsidRDefault="00041629">
      <w:pPr>
        <w:spacing w:after="0" w:line="240" w:lineRule="auto"/>
      </w:pPr>
      <w:r>
        <w:separator/>
      </w:r>
    </w:p>
  </w:footnote>
  <w:footnote w:type="continuationSeparator" w:id="0">
    <w:p w14:paraId="63D3910A" w14:textId="77777777" w:rsidR="00000000" w:rsidRDefault="0004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655C" w14:textId="77777777" w:rsidR="00551356" w:rsidRDefault="00041629">
    <w:pPr>
      <w:pStyle w:val="Header"/>
    </w:pPr>
    <w:r>
      <w:rPr>
        <w:noProof/>
      </w:rPr>
      <w:drawing>
        <wp:anchor distT="0" distB="0" distL="114300" distR="114300" simplePos="0" relativeHeight="251663360" behindDoc="1" locked="0" layoutInCell="1" allowOverlap="1" wp14:anchorId="4F2CD3A1" wp14:editId="05BFAED1">
          <wp:simplePos x="0" y="0"/>
          <wp:positionH relativeFrom="page">
            <wp:align>right</wp:align>
          </wp:positionH>
          <wp:positionV relativeFrom="page">
            <wp:posOffset>-20955</wp:posOffset>
          </wp:positionV>
          <wp:extent cx="7772399" cy="3856498"/>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F568" w14:textId="77777777" w:rsidR="00A357CD" w:rsidRDefault="00041629">
    <w:pPr>
      <w:pStyle w:val="Header"/>
    </w:pPr>
    <w:r>
      <w:rPr>
        <w:noProof/>
      </w:rPr>
      <mc:AlternateContent>
        <mc:Choice Requires="wps">
          <w:drawing>
            <wp:anchor distT="0" distB="0" distL="114300" distR="114300" simplePos="0" relativeHeight="251661312" behindDoc="0" locked="0" layoutInCell="1" allowOverlap="1" wp14:anchorId="4D3D0AEE" wp14:editId="39D92540">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2336" from="0,610.35pt" to="539.25pt,611.05pt" strokecolor="#4472c4" strokeweight="3.5pt">
              <v:stroke joinstyle="miter" opacity="49087f"/>
              <w10:wrap anchorx="margin" anchory="margin"/>
            </v:line>
          </w:pict>
        </mc:Fallback>
      </mc:AlternateContent>
    </w:r>
    <w:r>
      <w:rPr>
        <w:noProof/>
      </w:rPr>
      <mc:AlternateContent>
        <mc:Choice Requires="wps">
          <w:drawing>
            <wp:anchor distT="0" distB="0" distL="114300" distR="114300" simplePos="0" relativeHeight="251659264" behindDoc="0" locked="0" layoutInCell="1" allowOverlap="1" wp14:anchorId="5A76EB74" wp14:editId="1F33ADDD">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79A6C9F8" w14:textId="77777777" w:rsidR="00EC1229" w:rsidRPr="00817EEE" w:rsidRDefault="00041629" w:rsidP="00EC1229">
                          <w:pPr>
                            <w:pStyle w:val="Disclaimer"/>
                          </w:pPr>
                          <w:r w:rsidRPr="00947E11">
                            <w:rPr>
                              <w:szCs w:val="16"/>
                            </w:rPr>
                            <w:t xml:space="preserve">This </w:t>
                          </w:r>
                          <w:r>
                            <w:rPr>
                              <w:szCs w:val="16"/>
                            </w:rPr>
                            <w:t xml:space="preserve">Compliance </w:t>
                          </w:r>
                          <w:r>
                            <w:rPr>
                              <w:szCs w:val="16"/>
                            </w:rPr>
                            <w:t>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©201</w:t>
                          </w:r>
                          <w:r w:rsidR="007363CB">
                            <w:t>5-2020</w:t>
                          </w:r>
                          <w:r>
                            <w:t xml:space="preserve"> </w:t>
                          </w:r>
                          <w:r w:rsidRPr="00817EEE">
                            <w:t>Zywave, Inc.</w:t>
                          </w:r>
                          <w:r>
                            <w:t xml:space="preserve"> </w:t>
                          </w:r>
                          <w:r w:rsidRPr="00817EEE">
                            <w:t>All rights reserved.</w:t>
                          </w:r>
                        </w:p>
                        <w:p w14:paraId="0E9F1DEB" w14:textId="77777777" w:rsidR="00EC1229" w:rsidRPr="00947E11" w:rsidRDefault="00EC1229" w:rsidP="00EC1229">
                          <w:pPr>
                            <w:pStyle w:val="Disclaimer"/>
                            <w:rPr>
                              <w:szCs w:val="16"/>
                            </w:rPr>
                          </w:pPr>
                        </w:p>
                        <w:p w14:paraId="094B665D"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A76EB74"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79A6C9F8" w14:textId="77777777" w:rsidR="00EC1229" w:rsidRPr="00817EEE" w:rsidRDefault="00041629" w:rsidP="00EC1229">
                    <w:pPr>
                      <w:pStyle w:val="Disclaimer"/>
                    </w:pPr>
                    <w:r w:rsidRPr="00947E11">
                      <w:rPr>
                        <w:szCs w:val="16"/>
                      </w:rPr>
                      <w:t xml:space="preserve">This </w:t>
                    </w:r>
                    <w:r>
                      <w:rPr>
                        <w:szCs w:val="16"/>
                      </w:rPr>
                      <w:t xml:space="preserve">Compliance </w:t>
                    </w:r>
                    <w:r>
                      <w:rPr>
                        <w:szCs w:val="16"/>
                      </w:rPr>
                      <w:t>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©201</w:t>
                    </w:r>
                    <w:r w:rsidR="007363CB">
                      <w:t>5-2020</w:t>
                    </w:r>
                    <w:r>
                      <w:t xml:space="preserve"> </w:t>
                    </w:r>
                    <w:r w:rsidRPr="00817EEE">
                      <w:t>Zywave, Inc.</w:t>
                    </w:r>
                    <w:r>
                      <w:t xml:space="preserve"> </w:t>
                    </w:r>
                    <w:r w:rsidRPr="00817EEE">
                      <w:t>All rights reserved.</w:t>
                    </w:r>
                  </w:p>
                  <w:p w14:paraId="0E9F1DEB" w14:textId="77777777" w:rsidR="00EC1229" w:rsidRPr="00947E11" w:rsidRDefault="00EC1229" w:rsidP="00EC1229">
                    <w:pPr>
                      <w:pStyle w:val="Disclaimer"/>
                      <w:rPr>
                        <w:szCs w:val="16"/>
                      </w:rPr>
                    </w:pPr>
                  </w:p>
                  <w:p w14:paraId="094B665D"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58240" behindDoc="1" locked="0" layoutInCell="1" allowOverlap="1" wp14:anchorId="1CA1C045" wp14:editId="0459C766">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8309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0CE2A7C2"/>
    <w:lvl w:ilvl="0" w:tplc="7E12025C">
      <w:start w:val="1"/>
      <w:numFmt w:val="bullet"/>
      <w:lvlText w:val=""/>
      <w:lvlJc w:val="left"/>
      <w:pPr>
        <w:ind w:left="540" w:hanging="360"/>
      </w:pPr>
      <w:rPr>
        <w:rFonts w:ascii="Symbol" w:hAnsi="Symbol" w:hint="default"/>
        <w:color w:val="5083C9"/>
      </w:rPr>
    </w:lvl>
    <w:lvl w:ilvl="1" w:tplc="ED8EF0F0">
      <w:start w:val="1"/>
      <w:numFmt w:val="bullet"/>
      <w:lvlText w:val="o"/>
      <w:lvlJc w:val="left"/>
      <w:pPr>
        <w:ind w:left="1440" w:hanging="360"/>
      </w:pPr>
      <w:rPr>
        <w:rFonts w:ascii="Courier New" w:hAnsi="Courier New" w:cs="Courier New" w:hint="default"/>
      </w:rPr>
    </w:lvl>
    <w:lvl w:ilvl="2" w:tplc="D666AF24" w:tentative="1">
      <w:start w:val="1"/>
      <w:numFmt w:val="bullet"/>
      <w:lvlText w:val=""/>
      <w:lvlJc w:val="left"/>
      <w:pPr>
        <w:ind w:left="2160" w:hanging="360"/>
      </w:pPr>
      <w:rPr>
        <w:rFonts w:ascii="Wingdings" w:hAnsi="Wingdings" w:hint="default"/>
      </w:rPr>
    </w:lvl>
    <w:lvl w:ilvl="3" w:tplc="87E61E2A" w:tentative="1">
      <w:start w:val="1"/>
      <w:numFmt w:val="bullet"/>
      <w:lvlText w:val=""/>
      <w:lvlJc w:val="left"/>
      <w:pPr>
        <w:ind w:left="2880" w:hanging="360"/>
      </w:pPr>
      <w:rPr>
        <w:rFonts w:ascii="Symbol" w:hAnsi="Symbol" w:hint="default"/>
      </w:rPr>
    </w:lvl>
    <w:lvl w:ilvl="4" w:tplc="8DA69D9A" w:tentative="1">
      <w:start w:val="1"/>
      <w:numFmt w:val="bullet"/>
      <w:lvlText w:val="o"/>
      <w:lvlJc w:val="left"/>
      <w:pPr>
        <w:ind w:left="3600" w:hanging="360"/>
      </w:pPr>
      <w:rPr>
        <w:rFonts w:ascii="Courier New" w:hAnsi="Courier New" w:cs="Courier New" w:hint="default"/>
      </w:rPr>
    </w:lvl>
    <w:lvl w:ilvl="5" w:tplc="9FD08662" w:tentative="1">
      <w:start w:val="1"/>
      <w:numFmt w:val="bullet"/>
      <w:lvlText w:val=""/>
      <w:lvlJc w:val="left"/>
      <w:pPr>
        <w:ind w:left="4320" w:hanging="360"/>
      </w:pPr>
      <w:rPr>
        <w:rFonts w:ascii="Wingdings" w:hAnsi="Wingdings" w:hint="default"/>
      </w:rPr>
    </w:lvl>
    <w:lvl w:ilvl="6" w:tplc="CFE4EAF4" w:tentative="1">
      <w:start w:val="1"/>
      <w:numFmt w:val="bullet"/>
      <w:lvlText w:val=""/>
      <w:lvlJc w:val="left"/>
      <w:pPr>
        <w:ind w:left="5040" w:hanging="360"/>
      </w:pPr>
      <w:rPr>
        <w:rFonts w:ascii="Symbol" w:hAnsi="Symbol" w:hint="default"/>
      </w:rPr>
    </w:lvl>
    <w:lvl w:ilvl="7" w:tplc="2F541E64" w:tentative="1">
      <w:start w:val="1"/>
      <w:numFmt w:val="bullet"/>
      <w:lvlText w:val="o"/>
      <w:lvlJc w:val="left"/>
      <w:pPr>
        <w:ind w:left="5760" w:hanging="360"/>
      </w:pPr>
      <w:rPr>
        <w:rFonts w:ascii="Courier New" w:hAnsi="Courier New" w:cs="Courier New" w:hint="default"/>
      </w:rPr>
    </w:lvl>
    <w:lvl w:ilvl="8" w:tplc="4ACAB272" w:tentative="1">
      <w:start w:val="1"/>
      <w:numFmt w:val="bullet"/>
      <w:lvlText w:val=""/>
      <w:lvlJc w:val="left"/>
      <w:pPr>
        <w:ind w:left="6480" w:hanging="360"/>
      </w:pPr>
      <w:rPr>
        <w:rFonts w:ascii="Wingdings" w:hAnsi="Wingdings" w:hint="default"/>
      </w:rPr>
    </w:lvl>
  </w:abstractNum>
  <w:abstractNum w:abstractNumId="1" w15:restartNumberingAfterBreak="0">
    <w:nsid w:val="1568599D"/>
    <w:multiLevelType w:val="multilevel"/>
    <w:tmpl w:val="B13CDD56"/>
    <w:numStyleLink w:val="BulletedList"/>
  </w:abstractNum>
  <w:abstractNum w:abstractNumId="2" w15:restartNumberingAfterBreak="0">
    <w:nsid w:val="1A270686"/>
    <w:multiLevelType w:val="hybridMultilevel"/>
    <w:tmpl w:val="409AC006"/>
    <w:lvl w:ilvl="0" w:tplc="1818B5C2">
      <w:start w:val="1"/>
      <w:numFmt w:val="bullet"/>
      <w:pStyle w:val="Checkbox"/>
      <w:lvlText w:val=""/>
      <w:lvlJc w:val="left"/>
      <w:pPr>
        <w:ind w:left="540" w:hanging="360"/>
      </w:pPr>
      <w:rPr>
        <w:rFonts w:ascii="Wingdings" w:hAnsi="Wingdings" w:hint="default"/>
        <w:color w:val="5083C9"/>
        <w:sz w:val="28"/>
      </w:rPr>
    </w:lvl>
    <w:lvl w:ilvl="1" w:tplc="84D45D3A">
      <w:start w:val="1"/>
      <w:numFmt w:val="bullet"/>
      <w:lvlText w:val="o"/>
      <w:lvlJc w:val="left"/>
      <w:pPr>
        <w:ind w:left="1440" w:hanging="360"/>
      </w:pPr>
      <w:rPr>
        <w:rFonts w:ascii="Courier New" w:hAnsi="Courier New" w:cs="Courier New" w:hint="default"/>
      </w:rPr>
    </w:lvl>
    <w:lvl w:ilvl="2" w:tplc="167E29AC" w:tentative="1">
      <w:start w:val="1"/>
      <w:numFmt w:val="bullet"/>
      <w:lvlText w:val=""/>
      <w:lvlJc w:val="left"/>
      <w:pPr>
        <w:ind w:left="2160" w:hanging="360"/>
      </w:pPr>
      <w:rPr>
        <w:rFonts w:ascii="Wingdings" w:hAnsi="Wingdings" w:hint="default"/>
      </w:rPr>
    </w:lvl>
    <w:lvl w:ilvl="3" w:tplc="32A8D93A" w:tentative="1">
      <w:start w:val="1"/>
      <w:numFmt w:val="bullet"/>
      <w:lvlText w:val=""/>
      <w:lvlJc w:val="left"/>
      <w:pPr>
        <w:ind w:left="2880" w:hanging="360"/>
      </w:pPr>
      <w:rPr>
        <w:rFonts w:ascii="Symbol" w:hAnsi="Symbol" w:hint="default"/>
      </w:rPr>
    </w:lvl>
    <w:lvl w:ilvl="4" w:tplc="1BE22782" w:tentative="1">
      <w:start w:val="1"/>
      <w:numFmt w:val="bullet"/>
      <w:lvlText w:val="o"/>
      <w:lvlJc w:val="left"/>
      <w:pPr>
        <w:ind w:left="3600" w:hanging="360"/>
      </w:pPr>
      <w:rPr>
        <w:rFonts w:ascii="Courier New" w:hAnsi="Courier New" w:cs="Courier New" w:hint="default"/>
      </w:rPr>
    </w:lvl>
    <w:lvl w:ilvl="5" w:tplc="0ECE45CE" w:tentative="1">
      <w:start w:val="1"/>
      <w:numFmt w:val="bullet"/>
      <w:lvlText w:val=""/>
      <w:lvlJc w:val="left"/>
      <w:pPr>
        <w:ind w:left="4320" w:hanging="360"/>
      </w:pPr>
      <w:rPr>
        <w:rFonts w:ascii="Wingdings" w:hAnsi="Wingdings" w:hint="default"/>
      </w:rPr>
    </w:lvl>
    <w:lvl w:ilvl="6" w:tplc="841EE616" w:tentative="1">
      <w:start w:val="1"/>
      <w:numFmt w:val="bullet"/>
      <w:lvlText w:val=""/>
      <w:lvlJc w:val="left"/>
      <w:pPr>
        <w:ind w:left="5040" w:hanging="360"/>
      </w:pPr>
      <w:rPr>
        <w:rFonts w:ascii="Symbol" w:hAnsi="Symbol" w:hint="default"/>
      </w:rPr>
    </w:lvl>
    <w:lvl w:ilvl="7" w:tplc="5C0CC29A" w:tentative="1">
      <w:start w:val="1"/>
      <w:numFmt w:val="bullet"/>
      <w:lvlText w:val="o"/>
      <w:lvlJc w:val="left"/>
      <w:pPr>
        <w:ind w:left="5760" w:hanging="360"/>
      </w:pPr>
      <w:rPr>
        <w:rFonts w:ascii="Courier New" w:hAnsi="Courier New" w:cs="Courier New" w:hint="default"/>
      </w:rPr>
    </w:lvl>
    <w:lvl w:ilvl="8" w:tplc="0E5AECFC" w:tentative="1">
      <w:start w:val="1"/>
      <w:numFmt w:val="bullet"/>
      <w:lvlText w:val=""/>
      <w:lvlJc w:val="left"/>
      <w:pPr>
        <w:ind w:left="6480" w:hanging="360"/>
      </w:pPr>
      <w:rPr>
        <w:rFonts w:ascii="Wingdings" w:hAnsi="Wingdings" w:hint="default"/>
      </w:rPr>
    </w:lvl>
  </w:abstractNum>
  <w:abstractNum w:abstractNumId="3"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7C3E30"/>
    <w:multiLevelType w:val="hybridMultilevel"/>
    <w:tmpl w:val="DCE623FE"/>
    <w:lvl w:ilvl="0" w:tplc="4D263A02">
      <w:start w:val="1"/>
      <w:numFmt w:val="bullet"/>
      <w:pStyle w:val="Bullet"/>
      <w:lvlText w:val=""/>
      <w:lvlJc w:val="left"/>
      <w:pPr>
        <w:ind w:left="720" w:hanging="360"/>
      </w:pPr>
      <w:rPr>
        <w:rFonts w:ascii="Symbol" w:hAnsi="Symbol" w:hint="default"/>
        <w:color w:val="5083C9"/>
      </w:rPr>
    </w:lvl>
    <w:lvl w:ilvl="1" w:tplc="DBD2A04A">
      <w:start w:val="1"/>
      <w:numFmt w:val="bullet"/>
      <w:lvlText w:val="o"/>
      <w:lvlJc w:val="left"/>
      <w:pPr>
        <w:ind w:left="1440" w:hanging="360"/>
      </w:pPr>
      <w:rPr>
        <w:rFonts w:ascii="Courier New" w:hAnsi="Courier New" w:cs="Courier New" w:hint="default"/>
      </w:rPr>
    </w:lvl>
    <w:lvl w:ilvl="2" w:tplc="C4B61142">
      <w:start w:val="1"/>
      <w:numFmt w:val="bullet"/>
      <w:lvlText w:val=""/>
      <w:lvlJc w:val="left"/>
      <w:pPr>
        <w:ind w:left="2160" w:hanging="360"/>
      </w:pPr>
      <w:rPr>
        <w:rFonts w:ascii="Wingdings" w:hAnsi="Wingdings" w:hint="default"/>
      </w:rPr>
    </w:lvl>
    <w:lvl w:ilvl="3" w:tplc="7EF61DF8" w:tentative="1">
      <w:start w:val="1"/>
      <w:numFmt w:val="bullet"/>
      <w:lvlText w:val=""/>
      <w:lvlJc w:val="left"/>
      <w:pPr>
        <w:ind w:left="2880" w:hanging="360"/>
      </w:pPr>
      <w:rPr>
        <w:rFonts w:ascii="Symbol" w:hAnsi="Symbol" w:hint="default"/>
      </w:rPr>
    </w:lvl>
    <w:lvl w:ilvl="4" w:tplc="FE78E968" w:tentative="1">
      <w:start w:val="1"/>
      <w:numFmt w:val="bullet"/>
      <w:lvlText w:val="o"/>
      <w:lvlJc w:val="left"/>
      <w:pPr>
        <w:ind w:left="3600" w:hanging="360"/>
      </w:pPr>
      <w:rPr>
        <w:rFonts w:ascii="Courier New" w:hAnsi="Courier New" w:cs="Courier New" w:hint="default"/>
      </w:rPr>
    </w:lvl>
    <w:lvl w:ilvl="5" w:tplc="CA9A1440" w:tentative="1">
      <w:start w:val="1"/>
      <w:numFmt w:val="bullet"/>
      <w:lvlText w:val=""/>
      <w:lvlJc w:val="left"/>
      <w:pPr>
        <w:ind w:left="4320" w:hanging="360"/>
      </w:pPr>
      <w:rPr>
        <w:rFonts w:ascii="Wingdings" w:hAnsi="Wingdings" w:hint="default"/>
      </w:rPr>
    </w:lvl>
    <w:lvl w:ilvl="6" w:tplc="33047F36" w:tentative="1">
      <w:start w:val="1"/>
      <w:numFmt w:val="bullet"/>
      <w:lvlText w:val=""/>
      <w:lvlJc w:val="left"/>
      <w:pPr>
        <w:ind w:left="5040" w:hanging="360"/>
      </w:pPr>
      <w:rPr>
        <w:rFonts w:ascii="Symbol" w:hAnsi="Symbol" w:hint="default"/>
      </w:rPr>
    </w:lvl>
    <w:lvl w:ilvl="7" w:tplc="BE266426" w:tentative="1">
      <w:start w:val="1"/>
      <w:numFmt w:val="bullet"/>
      <w:lvlText w:val="o"/>
      <w:lvlJc w:val="left"/>
      <w:pPr>
        <w:ind w:left="5760" w:hanging="360"/>
      </w:pPr>
      <w:rPr>
        <w:rFonts w:ascii="Courier New" w:hAnsi="Courier New" w:cs="Courier New" w:hint="default"/>
      </w:rPr>
    </w:lvl>
    <w:lvl w:ilvl="8" w:tplc="87B84494" w:tentative="1">
      <w:start w:val="1"/>
      <w:numFmt w:val="bullet"/>
      <w:lvlText w:val=""/>
      <w:lvlJc w:val="left"/>
      <w:pPr>
        <w:ind w:left="6480" w:hanging="360"/>
      </w:pPr>
      <w:rPr>
        <w:rFonts w:ascii="Wingdings" w:hAnsi="Wingdings" w:hint="default"/>
      </w:rPr>
    </w:lvl>
  </w:abstractNum>
  <w:abstractNum w:abstractNumId="5" w15:restartNumberingAfterBreak="0">
    <w:nsid w:val="49D40F3B"/>
    <w:multiLevelType w:val="multilevel"/>
    <w:tmpl w:val="B13CDD56"/>
    <w:numStyleLink w:val="BulletedList"/>
  </w:abstractNum>
  <w:abstractNum w:abstractNumId="6" w15:restartNumberingAfterBreak="0">
    <w:nsid w:val="4C8601A1"/>
    <w:multiLevelType w:val="hybridMultilevel"/>
    <w:tmpl w:val="43CE94D6"/>
    <w:lvl w:ilvl="0" w:tplc="88B068EA">
      <w:start w:val="1"/>
      <w:numFmt w:val="bullet"/>
      <w:lvlText w:val=""/>
      <w:lvlJc w:val="left"/>
      <w:pPr>
        <w:ind w:left="720" w:hanging="360"/>
      </w:pPr>
      <w:rPr>
        <w:rFonts w:ascii="Symbol" w:hAnsi="Symbol" w:hint="default"/>
      </w:rPr>
    </w:lvl>
    <w:lvl w:ilvl="1" w:tplc="76CE4C40">
      <w:start w:val="1"/>
      <w:numFmt w:val="bullet"/>
      <w:lvlText w:val="o"/>
      <w:lvlJc w:val="left"/>
      <w:pPr>
        <w:ind w:left="1440" w:hanging="360"/>
      </w:pPr>
      <w:rPr>
        <w:rFonts w:ascii="Courier New" w:hAnsi="Courier New" w:hint="default"/>
      </w:rPr>
    </w:lvl>
    <w:lvl w:ilvl="2" w:tplc="96D4D9E0" w:tentative="1">
      <w:start w:val="1"/>
      <w:numFmt w:val="bullet"/>
      <w:lvlText w:val=""/>
      <w:lvlJc w:val="left"/>
      <w:pPr>
        <w:ind w:left="2160" w:hanging="360"/>
      </w:pPr>
      <w:rPr>
        <w:rFonts w:ascii="Wingdings" w:hAnsi="Wingdings" w:hint="default"/>
      </w:rPr>
    </w:lvl>
    <w:lvl w:ilvl="3" w:tplc="FF9E1A9A" w:tentative="1">
      <w:start w:val="1"/>
      <w:numFmt w:val="bullet"/>
      <w:lvlText w:val=""/>
      <w:lvlJc w:val="left"/>
      <w:pPr>
        <w:ind w:left="2880" w:hanging="360"/>
      </w:pPr>
      <w:rPr>
        <w:rFonts w:ascii="Symbol" w:hAnsi="Symbol" w:hint="default"/>
      </w:rPr>
    </w:lvl>
    <w:lvl w:ilvl="4" w:tplc="0AC6B5CE" w:tentative="1">
      <w:start w:val="1"/>
      <w:numFmt w:val="bullet"/>
      <w:lvlText w:val="o"/>
      <w:lvlJc w:val="left"/>
      <w:pPr>
        <w:ind w:left="3600" w:hanging="360"/>
      </w:pPr>
      <w:rPr>
        <w:rFonts w:ascii="Courier New" w:hAnsi="Courier New" w:cs="Courier New" w:hint="default"/>
      </w:rPr>
    </w:lvl>
    <w:lvl w:ilvl="5" w:tplc="539E5E76" w:tentative="1">
      <w:start w:val="1"/>
      <w:numFmt w:val="bullet"/>
      <w:lvlText w:val=""/>
      <w:lvlJc w:val="left"/>
      <w:pPr>
        <w:ind w:left="4320" w:hanging="360"/>
      </w:pPr>
      <w:rPr>
        <w:rFonts w:ascii="Wingdings" w:hAnsi="Wingdings" w:hint="default"/>
      </w:rPr>
    </w:lvl>
    <w:lvl w:ilvl="6" w:tplc="28B06E68" w:tentative="1">
      <w:start w:val="1"/>
      <w:numFmt w:val="bullet"/>
      <w:lvlText w:val=""/>
      <w:lvlJc w:val="left"/>
      <w:pPr>
        <w:ind w:left="5040" w:hanging="360"/>
      </w:pPr>
      <w:rPr>
        <w:rFonts w:ascii="Symbol" w:hAnsi="Symbol" w:hint="default"/>
      </w:rPr>
    </w:lvl>
    <w:lvl w:ilvl="7" w:tplc="F1585B1E" w:tentative="1">
      <w:start w:val="1"/>
      <w:numFmt w:val="bullet"/>
      <w:lvlText w:val="o"/>
      <w:lvlJc w:val="left"/>
      <w:pPr>
        <w:ind w:left="5760" w:hanging="360"/>
      </w:pPr>
      <w:rPr>
        <w:rFonts w:ascii="Courier New" w:hAnsi="Courier New" w:cs="Courier New" w:hint="default"/>
      </w:rPr>
    </w:lvl>
    <w:lvl w:ilvl="8" w:tplc="1870F2D4" w:tentative="1">
      <w:start w:val="1"/>
      <w:numFmt w:val="bullet"/>
      <w:lvlText w:val=""/>
      <w:lvlJc w:val="left"/>
      <w:pPr>
        <w:ind w:left="6480" w:hanging="360"/>
      </w:pPr>
      <w:rPr>
        <w:rFonts w:ascii="Wingdings" w:hAnsi="Wingdings" w:hint="default"/>
      </w:rPr>
    </w:lvl>
  </w:abstractNum>
  <w:abstractNum w:abstractNumId="7" w15:restartNumberingAfterBreak="0">
    <w:nsid w:val="4E624744"/>
    <w:multiLevelType w:val="hybridMultilevel"/>
    <w:tmpl w:val="D67CDEAC"/>
    <w:lvl w:ilvl="0" w:tplc="8F10FFAC">
      <w:start w:val="1"/>
      <w:numFmt w:val="bullet"/>
      <w:pStyle w:val="Xbox"/>
      <w:lvlText w:val=""/>
      <w:lvlJc w:val="left"/>
      <w:pPr>
        <w:ind w:left="540" w:hanging="360"/>
      </w:pPr>
      <w:rPr>
        <w:rFonts w:ascii="Wingdings" w:hAnsi="Wingdings" w:hint="default"/>
        <w:color w:val="BD6363"/>
        <w:sz w:val="28"/>
      </w:rPr>
    </w:lvl>
    <w:lvl w:ilvl="1" w:tplc="0E788738">
      <w:start w:val="1"/>
      <w:numFmt w:val="bullet"/>
      <w:lvlText w:val="o"/>
      <w:lvlJc w:val="left"/>
      <w:pPr>
        <w:ind w:left="1440" w:hanging="360"/>
      </w:pPr>
      <w:rPr>
        <w:rFonts w:ascii="Courier New" w:hAnsi="Courier New" w:cs="Courier New" w:hint="default"/>
      </w:rPr>
    </w:lvl>
    <w:lvl w:ilvl="2" w:tplc="DF94EC20" w:tentative="1">
      <w:start w:val="1"/>
      <w:numFmt w:val="bullet"/>
      <w:lvlText w:val=""/>
      <w:lvlJc w:val="left"/>
      <w:pPr>
        <w:ind w:left="2160" w:hanging="360"/>
      </w:pPr>
      <w:rPr>
        <w:rFonts w:ascii="Wingdings" w:hAnsi="Wingdings" w:hint="default"/>
      </w:rPr>
    </w:lvl>
    <w:lvl w:ilvl="3" w:tplc="392825CE" w:tentative="1">
      <w:start w:val="1"/>
      <w:numFmt w:val="bullet"/>
      <w:lvlText w:val=""/>
      <w:lvlJc w:val="left"/>
      <w:pPr>
        <w:ind w:left="2880" w:hanging="360"/>
      </w:pPr>
      <w:rPr>
        <w:rFonts w:ascii="Symbol" w:hAnsi="Symbol" w:hint="default"/>
      </w:rPr>
    </w:lvl>
    <w:lvl w:ilvl="4" w:tplc="D360B36C" w:tentative="1">
      <w:start w:val="1"/>
      <w:numFmt w:val="bullet"/>
      <w:lvlText w:val="o"/>
      <w:lvlJc w:val="left"/>
      <w:pPr>
        <w:ind w:left="3600" w:hanging="360"/>
      </w:pPr>
      <w:rPr>
        <w:rFonts w:ascii="Courier New" w:hAnsi="Courier New" w:cs="Courier New" w:hint="default"/>
      </w:rPr>
    </w:lvl>
    <w:lvl w:ilvl="5" w:tplc="ABA4415C" w:tentative="1">
      <w:start w:val="1"/>
      <w:numFmt w:val="bullet"/>
      <w:lvlText w:val=""/>
      <w:lvlJc w:val="left"/>
      <w:pPr>
        <w:ind w:left="4320" w:hanging="360"/>
      </w:pPr>
      <w:rPr>
        <w:rFonts w:ascii="Wingdings" w:hAnsi="Wingdings" w:hint="default"/>
      </w:rPr>
    </w:lvl>
    <w:lvl w:ilvl="6" w:tplc="C31829F2" w:tentative="1">
      <w:start w:val="1"/>
      <w:numFmt w:val="bullet"/>
      <w:lvlText w:val=""/>
      <w:lvlJc w:val="left"/>
      <w:pPr>
        <w:ind w:left="5040" w:hanging="360"/>
      </w:pPr>
      <w:rPr>
        <w:rFonts w:ascii="Symbol" w:hAnsi="Symbol" w:hint="default"/>
      </w:rPr>
    </w:lvl>
    <w:lvl w:ilvl="7" w:tplc="9A9A74C8" w:tentative="1">
      <w:start w:val="1"/>
      <w:numFmt w:val="bullet"/>
      <w:lvlText w:val="o"/>
      <w:lvlJc w:val="left"/>
      <w:pPr>
        <w:ind w:left="5760" w:hanging="360"/>
      </w:pPr>
      <w:rPr>
        <w:rFonts w:ascii="Courier New" w:hAnsi="Courier New" w:cs="Courier New" w:hint="default"/>
      </w:rPr>
    </w:lvl>
    <w:lvl w:ilvl="8" w:tplc="B61E4236" w:tentative="1">
      <w:start w:val="1"/>
      <w:numFmt w:val="bullet"/>
      <w:lvlText w:val=""/>
      <w:lvlJc w:val="left"/>
      <w:pPr>
        <w:ind w:left="6480" w:hanging="360"/>
      </w:pPr>
      <w:rPr>
        <w:rFonts w:ascii="Wingdings" w:hAnsi="Wingdings" w:hint="default"/>
      </w:rPr>
    </w:lvl>
  </w:abstractNum>
  <w:abstractNum w:abstractNumId="8" w15:restartNumberingAfterBreak="0">
    <w:nsid w:val="532E5207"/>
    <w:multiLevelType w:val="multilevel"/>
    <w:tmpl w:val="B13CDD56"/>
    <w:numStyleLink w:val="BulletedList"/>
  </w:abstractNum>
  <w:abstractNum w:abstractNumId="9" w15:restartNumberingAfterBreak="0">
    <w:nsid w:val="726F4B06"/>
    <w:multiLevelType w:val="hybridMultilevel"/>
    <w:tmpl w:val="BEC406FA"/>
    <w:lvl w:ilvl="0" w:tplc="15281B96">
      <w:start w:val="1"/>
      <w:numFmt w:val="bullet"/>
      <w:lvlText w:val=""/>
      <w:lvlJc w:val="left"/>
      <w:pPr>
        <w:ind w:left="720" w:hanging="360"/>
      </w:pPr>
      <w:rPr>
        <w:rFonts w:ascii="Wingdings" w:hAnsi="Wingdings" w:hint="default"/>
        <w:b/>
        <w:i w:val="0"/>
        <w:color w:val="4884A2"/>
        <w:sz w:val="36"/>
      </w:rPr>
    </w:lvl>
    <w:lvl w:ilvl="1" w:tplc="BC72FBC4" w:tentative="1">
      <w:start w:val="1"/>
      <w:numFmt w:val="bullet"/>
      <w:lvlText w:val="o"/>
      <w:lvlJc w:val="left"/>
      <w:pPr>
        <w:ind w:left="1440" w:hanging="360"/>
      </w:pPr>
      <w:rPr>
        <w:rFonts w:ascii="Courier New" w:hAnsi="Courier New" w:cs="Courier New" w:hint="default"/>
      </w:rPr>
    </w:lvl>
    <w:lvl w:ilvl="2" w:tplc="2A58DF56" w:tentative="1">
      <w:start w:val="1"/>
      <w:numFmt w:val="bullet"/>
      <w:lvlText w:val=""/>
      <w:lvlJc w:val="left"/>
      <w:pPr>
        <w:ind w:left="2160" w:hanging="360"/>
      </w:pPr>
      <w:rPr>
        <w:rFonts w:ascii="Wingdings" w:hAnsi="Wingdings" w:hint="default"/>
      </w:rPr>
    </w:lvl>
    <w:lvl w:ilvl="3" w:tplc="9A8A2954" w:tentative="1">
      <w:start w:val="1"/>
      <w:numFmt w:val="bullet"/>
      <w:lvlText w:val=""/>
      <w:lvlJc w:val="left"/>
      <w:pPr>
        <w:ind w:left="2880" w:hanging="360"/>
      </w:pPr>
      <w:rPr>
        <w:rFonts w:ascii="Symbol" w:hAnsi="Symbol" w:hint="default"/>
      </w:rPr>
    </w:lvl>
    <w:lvl w:ilvl="4" w:tplc="CDC0FE74" w:tentative="1">
      <w:start w:val="1"/>
      <w:numFmt w:val="bullet"/>
      <w:lvlText w:val="o"/>
      <w:lvlJc w:val="left"/>
      <w:pPr>
        <w:ind w:left="3600" w:hanging="360"/>
      </w:pPr>
      <w:rPr>
        <w:rFonts w:ascii="Courier New" w:hAnsi="Courier New" w:cs="Courier New" w:hint="default"/>
      </w:rPr>
    </w:lvl>
    <w:lvl w:ilvl="5" w:tplc="44862D4E" w:tentative="1">
      <w:start w:val="1"/>
      <w:numFmt w:val="bullet"/>
      <w:lvlText w:val=""/>
      <w:lvlJc w:val="left"/>
      <w:pPr>
        <w:ind w:left="4320" w:hanging="360"/>
      </w:pPr>
      <w:rPr>
        <w:rFonts w:ascii="Wingdings" w:hAnsi="Wingdings" w:hint="default"/>
      </w:rPr>
    </w:lvl>
    <w:lvl w:ilvl="6" w:tplc="75F24E36" w:tentative="1">
      <w:start w:val="1"/>
      <w:numFmt w:val="bullet"/>
      <w:lvlText w:val=""/>
      <w:lvlJc w:val="left"/>
      <w:pPr>
        <w:ind w:left="5040" w:hanging="360"/>
      </w:pPr>
      <w:rPr>
        <w:rFonts w:ascii="Symbol" w:hAnsi="Symbol" w:hint="default"/>
      </w:rPr>
    </w:lvl>
    <w:lvl w:ilvl="7" w:tplc="F7DE9CFC" w:tentative="1">
      <w:start w:val="1"/>
      <w:numFmt w:val="bullet"/>
      <w:lvlText w:val="o"/>
      <w:lvlJc w:val="left"/>
      <w:pPr>
        <w:ind w:left="5760" w:hanging="360"/>
      </w:pPr>
      <w:rPr>
        <w:rFonts w:ascii="Courier New" w:hAnsi="Courier New" w:cs="Courier New" w:hint="default"/>
      </w:rPr>
    </w:lvl>
    <w:lvl w:ilvl="8" w:tplc="F00ED66C" w:tentative="1">
      <w:start w:val="1"/>
      <w:numFmt w:val="bullet"/>
      <w:lvlText w:val=""/>
      <w:lvlJc w:val="left"/>
      <w:pPr>
        <w:ind w:left="6480" w:hanging="360"/>
      </w:pPr>
      <w:rPr>
        <w:rFonts w:ascii="Wingdings" w:hAnsi="Wingdings" w:hint="default"/>
      </w:rPr>
    </w:lvl>
  </w:abstractNum>
  <w:abstractNum w:abstractNumId="10" w15:restartNumberingAfterBreak="0">
    <w:nsid w:val="730B4ECD"/>
    <w:multiLevelType w:val="hybridMultilevel"/>
    <w:tmpl w:val="6C406044"/>
    <w:lvl w:ilvl="0" w:tplc="3F7A96D8">
      <w:start w:val="1"/>
      <w:numFmt w:val="bullet"/>
      <w:pStyle w:val="BulletlistHighlight"/>
      <w:lvlText w:val=""/>
      <w:lvlJc w:val="left"/>
      <w:pPr>
        <w:ind w:left="288" w:hanging="288"/>
      </w:pPr>
      <w:rPr>
        <w:rFonts w:ascii="Symbol" w:hAnsi="Symbol" w:hint="default"/>
      </w:rPr>
    </w:lvl>
    <w:lvl w:ilvl="1" w:tplc="59CAEF88">
      <w:start w:val="1"/>
      <w:numFmt w:val="bullet"/>
      <w:lvlText w:val="o"/>
      <w:lvlJc w:val="left"/>
      <w:pPr>
        <w:ind w:left="576" w:hanging="216"/>
      </w:pPr>
      <w:rPr>
        <w:rFonts w:ascii="Courier New" w:hAnsi="Courier New" w:hint="default"/>
      </w:rPr>
    </w:lvl>
    <w:lvl w:ilvl="2" w:tplc="C02014B0">
      <w:start w:val="1"/>
      <w:numFmt w:val="bullet"/>
      <w:lvlText w:val=""/>
      <w:lvlJc w:val="left"/>
      <w:pPr>
        <w:ind w:left="864" w:hanging="216"/>
      </w:pPr>
      <w:rPr>
        <w:rFonts w:ascii="Wingdings" w:hAnsi="Wingdings" w:hint="default"/>
      </w:rPr>
    </w:lvl>
    <w:lvl w:ilvl="3" w:tplc="0EF04952" w:tentative="1">
      <w:start w:val="1"/>
      <w:numFmt w:val="bullet"/>
      <w:lvlText w:val=""/>
      <w:lvlJc w:val="left"/>
      <w:pPr>
        <w:ind w:left="2880" w:hanging="360"/>
      </w:pPr>
      <w:rPr>
        <w:rFonts w:ascii="Symbol" w:hAnsi="Symbol" w:hint="default"/>
      </w:rPr>
    </w:lvl>
    <w:lvl w:ilvl="4" w:tplc="22A681AA" w:tentative="1">
      <w:start w:val="1"/>
      <w:numFmt w:val="bullet"/>
      <w:lvlText w:val="o"/>
      <w:lvlJc w:val="left"/>
      <w:pPr>
        <w:ind w:left="3600" w:hanging="360"/>
      </w:pPr>
      <w:rPr>
        <w:rFonts w:ascii="Courier New" w:hAnsi="Courier New" w:cs="Courier New" w:hint="default"/>
      </w:rPr>
    </w:lvl>
    <w:lvl w:ilvl="5" w:tplc="EF506042" w:tentative="1">
      <w:start w:val="1"/>
      <w:numFmt w:val="bullet"/>
      <w:lvlText w:val=""/>
      <w:lvlJc w:val="left"/>
      <w:pPr>
        <w:ind w:left="4320" w:hanging="360"/>
      </w:pPr>
      <w:rPr>
        <w:rFonts w:ascii="Wingdings" w:hAnsi="Wingdings" w:hint="default"/>
      </w:rPr>
    </w:lvl>
    <w:lvl w:ilvl="6" w:tplc="312CBD48" w:tentative="1">
      <w:start w:val="1"/>
      <w:numFmt w:val="bullet"/>
      <w:lvlText w:val=""/>
      <w:lvlJc w:val="left"/>
      <w:pPr>
        <w:ind w:left="5040" w:hanging="360"/>
      </w:pPr>
      <w:rPr>
        <w:rFonts w:ascii="Symbol" w:hAnsi="Symbol" w:hint="default"/>
      </w:rPr>
    </w:lvl>
    <w:lvl w:ilvl="7" w:tplc="EC58ABF0" w:tentative="1">
      <w:start w:val="1"/>
      <w:numFmt w:val="bullet"/>
      <w:lvlText w:val="o"/>
      <w:lvlJc w:val="left"/>
      <w:pPr>
        <w:ind w:left="5760" w:hanging="360"/>
      </w:pPr>
      <w:rPr>
        <w:rFonts w:ascii="Courier New" w:hAnsi="Courier New" w:cs="Courier New" w:hint="default"/>
      </w:rPr>
    </w:lvl>
    <w:lvl w:ilvl="8" w:tplc="90885F7A" w:tentative="1">
      <w:start w:val="1"/>
      <w:numFmt w:val="bullet"/>
      <w:lvlText w:val=""/>
      <w:lvlJc w:val="left"/>
      <w:pPr>
        <w:ind w:left="6480" w:hanging="360"/>
      </w:pPr>
      <w:rPr>
        <w:rFonts w:ascii="Wingdings" w:hAnsi="Wingdings" w:hint="default"/>
      </w:rPr>
    </w:lvl>
  </w:abstractNum>
  <w:abstractNum w:abstractNumId="11" w15:restartNumberingAfterBreak="0">
    <w:nsid w:val="74912014"/>
    <w:multiLevelType w:val="hybridMultilevel"/>
    <w:tmpl w:val="96747874"/>
    <w:lvl w:ilvl="0" w:tplc="6A3E4946">
      <w:start w:val="1"/>
      <w:numFmt w:val="bullet"/>
      <w:pStyle w:val="Bullets"/>
      <w:lvlText w:val=""/>
      <w:lvlJc w:val="left"/>
      <w:pPr>
        <w:ind w:left="720" w:hanging="360"/>
      </w:pPr>
      <w:rPr>
        <w:rFonts w:ascii="Symbol" w:hAnsi="Symbol" w:hint="default"/>
        <w:b/>
        <w:color w:val="595959"/>
      </w:rPr>
    </w:lvl>
    <w:lvl w:ilvl="1" w:tplc="586EEADA" w:tentative="1">
      <w:start w:val="1"/>
      <w:numFmt w:val="bullet"/>
      <w:lvlText w:val="o"/>
      <w:lvlJc w:val="left"/>
      <w:pPr>
        <w:ind w:left="1440" w:hanging="360"/>
      </w:pPr>
      <w:rPr>
        <w:rFonts w:ascii="Courier New" w:hAnsi="Courier New" w:cs="Courier New" w:hint="default"/>
      </w:rPr>
    </w:lvl>
    <w:lvl w:ilvl="2" w:tplc="3CC837CC" w:tentative="1">
      <w:start w:val="1"/>
      <w:numFmt w:val="bullet"/>
      <w:lvlText w:val=""/>
      <w:lvlJc w:val="left"/>
      <w:pPr>
        <w:ind w:left="2160" w:hanging="360"/>
      </w:pPr>
      <w:rPr>
        <w:rFonts w:ascii="Wingdings" w:hAnsi="Wingdings" w:hint="default"/>
      </w:rPr>
    </w:lvl>
    <w:lvl w:ilvl="3" w:tplc="F81C0456" w:tentative="1">
      <w:start w:val="1"/>
      <w:numFmt w:val="bullet"/>
      <w:lvlText w:val=""/>
      <w:lvlJc w:val="left"/>
      <w:pPr>
        <w:ind w:left="2880" w:hanging="360"/>
      </w:pPr>
      <w:rPr>
        <w:rFonts w:ascii="Symbol" w:hAnsi="Symbol" w:hint="default"/>
      </w:rPr>
    </w:lvl>
    <w:lvl w:ilvl="4" w:tplc="9162096A" w:tentative="1">
      <w:start w:val="1"/>
      <w:numFmt w:val="bullet"/>
      <w:lvlText w:val="o"/>
      <w:lvlJc w:val="left"/>
      <w:pPr>
        <w:ind w:left="3600" w:hanging="360"/>
      </w:pPr>
      <w:rPr>
        <w:rFonts w:ascii="Courier New" w:hAnsi="Courier New" w:cs="Courier New" w:hint="default"/>
      </w:rPr>
    </w:lvl>
    <w:lvl w:ilvl="5" w:tplc="78ACDF00" w:tentative="1">
      <w:start w:val="1"/>
      <w:numFmt w:val="bullet"/>
      <w:lvlText w:val=""/>
      <w:lvlJc w:val="left"/>
      <w:pPr>
        <w:ind w:left="4320" w:hanging="360"/>
      </w:pPr>
      <w:rPr>
        <w:rFonts w:ascii="Wingdings" w:hAnsi="Wingdings" w:hint="default"/>
      </w:rPr>
    </w:lvl>
    <w:lvl w:ilvl="6" w:tplc="9664E2F8" w:tentative="1">
      <w:start w:val="1"/>
      <w:numFmt w:val="bullet"/>
      <w:lvlText w:val=""/>
      <w:lvlJc w:val="left"/>
      <w:pPr>
        <w:ind w:left="5040" w:hanging="360"/>
      </w:pPr>
      <w:rPr>
        <w:rFonts w:ascii="Symbol" w:hAnsi="Symbol" w:hint="default"/>
      </w:rPr>
    </w:lvl>
    <w:lvl w:ilvl="7" w:tplc="D9620804" w:tentative="1">
      <w:start w:val="1"/>
      <w:numFmt w:val="bullet"/>
      <w:lvlText w:val="o"/>
      <w:lvlJc w:val="left"/>
      <w:pPr>
        <w:ind w:left="5760" w:hanging="360"/>
      </w:pPr>
      <w:rPr>
        <w:rFonts w:ascii="Courier New" w:hAnsi="Courier New" w:cs="Courier New" w:hint="default"/>
      </w:rPr>
    </w:lvl>
    <w:lvl w:ilvl="8" w:tplc="0224A0CA"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0"/>
  </w:num>
  <w:num w:numId="6">
    <w:abstractNumId w:val="3"/>
  </w:num>
  <w:num w:numId="7">
    <w:abstractNumId w:val="1"/>
  </w:num>
  <w:num w:numId="8">
    <w:abstractNumId w:val="5"/>
  </w:num>
  <w:num w:numId="9">
    <w:abstractNumId w:val="8"/>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96"/>
    <w:rsid w:val="00041629"/>
    <w:rsid w:val="000847AD"/>
    <w:rsid w:val="00090473"/>
    <w:rsid w:val="0012162D"/>
    <w:rsid w:val="00126C4A"/>
    <w:rsid w:val="001327E9"/>
    <w:rsid w:val="0016683E"/>
    <w:rsid w:val="00171781"/>
    <w:rsid w:val="001725D9"/>
    <w:rsid w:val="0019038E"/>
    <w:rsid w:val="00192BA6"/>
    <w:rsid w:val="00195051"/>
    <w:rsid w:val="00197A9E"/>
    <w:rsid w:val="001B1A7E"/>
    <w:rsid w:val="001B5774"/>
    <w:rsid w:val="001C5FC3"/>
    <w:rsid w:val="00235733"/>
    <w:rsid w:val="0024208C"/>
    <w:rsid w:val="0026000D"/>
    <w:rsid w:val="00276AA9"/>
    <w:rsid w:val="00282825"/>
    <w:rsid w:val="00282C22"/>
    <w:rsid w:val="002F02F6"/>
    <w:rsid w:val="003243B0"/>
    <w:rsid w:val="003267EB"/>
    <w:rsid w:val="0035530B"/>
    <w:rsid w:val="0037553A"/>
    <w:rsid w:val="00377AA8"/>
    <w:rsid w:val="003A6B72"/>
    <w:rsid w:val="003C10A8"/>
    <w:rsid w:val="003C1896"/>
    <w:rsid w:val="003D50AA"/>
    <w:rsid w:val="00441851"/>
    <w:rsid w:val="00484002"/>
    <w:rsid w:val="00485C3A"/>
    <w:rsid w:val="004967FA"/>
    <w:rsid w:val="004A65E6"/>
    <w:rsid w:val="004B125C"/>
    <w:rsid w:val="004F049A"/>
    <w:rsid w:val="004F3C17"/>
    <w:rsid w:val="00526C74"/>
    <w:rsid w:val="00534014"/>
    <w:rsid w:val="00551356"/>
    <w:rsid w:val="005806E6"/>
    <w:rsid w:val="00583A78"/>
    <w:rsid w:val="00584B55"/>
    <w:rsid w:val="005A5BCC"/>
    <w:rsid w:val="005D05D9"/>
    <w:rsid w:val="005E4D2F"/>
    <w:rsid w:val="005E5147"/>
    <w:rsid w:val="00677DD4"/>
    <w:rsid w:val="006A4CCA"/>
    <w:rsid w:val="006B2E3A"/>
    <w:rsid w:val="006D0148"/>
    <w:rsid w:val="006E3B62"/>
    <w:rsid w:val="00707343"/>
    <w:rsid w:val="00731A58"/>
    <w:rsid w:val="007363CB"/>
    <w:rsid w:val="007768B0"/>
    <w:rsid w:val="007C4836"/>
    <w:rsid w:val="00802FF0"/>
    <w:rsid w:val="00817EEE"/>
    <w:rsid w:val="008254B5"/>
    <w:rsid w:val="00826394"/>
    <w:rsid w:val="00844896"/>
    <w:rsid w:val="0084543D"/>
    <w:rsid w:val="00894829"/>
    <w:rsid w:val="008A7E71"/>
    <w:rsid w:val="008C01A9"/>
    <w:rsid w:val="008C3FE0"/>
    <w:rsid w:val="008C4D53"/>
    <w:rsid w:val="008C539C"/>
    <w:rsid w:val="008F109D"/>
    <w:rsid w:val="008F7B15"/>
    <w:rsid w:val="00926535"/>
    <w:rsid w:val="00947E11"/>
    <w:rsid w:val="00957814"/>
    <w:rsid w:val="0098636D"/>
    <w:rsid w:val="00993033"/>
    <w:rsid w:val="009A663E"/>
    <w:rsid w:val="009C15E3"/>
    <w:rsid w:val="009D4BB6"/>
    <w:rsid w:val="009E4DC9"/>
    <w:rsid w:val="009F2E5D"/>
    <w:rsid w:val="009F3CA3"/>
    <w:rsid w:val="00A337BD"/>
    <w:rsid w:val="00A357CD"/>
    <w:rsid w:val="00A46068"/>
    <w:rsid w:val="00A47C53"/>
    <w:rsid w:val="00A62BE1"/>
    <w:rsid w:val="00A83C9F"/>
    <w:rsid w:val="00A95ADA"/>
    <w:rsid w:val="00AD0649"/>
    <w:rsid w:val="00AD1C3C"/>
    <w:rsid w:val="00B05DD2"/>
    <w:rsid w:val="00B22ADC"/>
    <w:rsid w:val="00B27C10"/>
    <w:rsid w:val="00B34A25"/>
    <w:rsid w:val="00B727AD"/>
    <w:rsid w:val="00BC32B1"/>
    <w:rsid w:val="00BE213F"/>
    <w:rsid w:val="00C73DB9"/>
    <w:rsid w:val="00C84C66"/>
    <w:rsid w:val="00C9359B"/>
    <w:rsid w:val="00CB6777"/>
    <w:rsid w:val="00CD4652"/>
    <w:rsid w:val="00CD7C30"/>
    <w:rsid w:val="00CF5E21"/>
    <w:rsid w:val="00D00E8F"/>
    <w:rsid w:val="00D379D5"/>
    <w:rsid w:val="00D76FCB"/>
    <w:rsid w:val="00D8467E"/>
    <w:rsid w:val="00DB123E"/>
    <w:rsid w:val="00DC3880"/>
    <w:rsid w:val="00E03E2F"/>
    <w:rsid w:val="00E16E6C"/>
    <w:rsid w:val="00E16FF3"/>
    <w:rsid w:val="00E20566"/>
    <w:rsid w:val="00E6115F"/>
    <w:rsid w:val="00EA2BB6"/>
    <w:rsid w:val="00EB551D"/>
    <w:rsid w:val="00EC1229"/>
    <w:rsid w:val="00EC2053"/>
    <w:rsid w:val="00EF5623"/>
    <w:rsid w:val="00EF7BE8"/>
    <w:rsid w:val="00F021E9"/>
    <w:rsid w:val="00F342D8"/>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C371"/>
  <w15:chartTrackingRefBased/>
  <w15:docId w15:val="{99073715-E41D-4CD9-A85E-F30E16AD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paragraph" w:customStyle="1" w:styleId="Bullets">
    <w:name w:val="Bullets"/>
    <w:basedOn w:val="BodyText"/>
    <w:link w:val="BulletsChar"/>
    <w:qFormat/>
    <w:rsid w:val="00192BA6"/>
    <w:pPr>
      <w:numPr>
        <w:numId w:val="11"/>
      </w:numPr>
      <w:spacing w:before="120" w:after="240"/>
    </w:pPr>
  </w:style>
  <w:style w:type="character" w:customStyle="1" w:styleId="BulletsChar">
    <w:name w:val="Bullets Char"/>
    <w:link w:val="Bullets"/>
    <w:rsid w:val="00192BA6"/>
    <w:rPr>
      <w:rFonts w:ascii="Calibri" w:eastAsia="Times New Roman" w:hAnsi="Calibri" w:cs="Arial"/>
      <w:color w:val="595959"/>
      <w:szCs w:val="20"/>
    </w:rPr>
  </w:style>
  <w:style w:type="paragraph" w:customStyle="1" w:styleId="T-Text">
    <w:name w:val="T-Text"/>
    <w:basedOn w:val="Normal"/>
    <w:link w:val="T-TextChar"/>
    <w:qFormat/>
    <w:rsid w:val="00192BA6"/>
    <w:pPr>
      <w:spacing w:after="0" w:line="240" w:lineRule="auto"/>
    </w:pPr>
    <w:rPr>
      <w:rFonts w:ascii="Calibri" w:eastAsia="Calibri" w:hAnsi="Calibri" w:cs="Times New Roman"/>
      <w:color w:val="595959"/>
      <w:sz w:val="20"/>
      <w:szCs w:val="20"/>
    </w:rPr>
  </w:style>
  <w:style w:type="character" w:customStyle="1" w:styleId="T-TextChar">
    <w:name w:val="T-Text Char"/>
    <w:link w:val="T-Text"/>
    <w:rsid w:val="00192BA6"/>
    <w:rPr>
      <w:rFonts w:ascii="Calibri" w:eastAsia="Calibri" w:hAnsi="Calibri" w:cs="Times New Roman"/>
      <w:color w:val="595959"/>
      <w:sz w:val="20"/>
      <w:szCs w:val="20"/>
    </w:rPr>
  </w:style>
  <w:style w:type="character" w:styleId="FollowedHyperlink">
    <w:name w:val="FollowedHyperlink"/>
    <w:basedOn w:val="DefaultParagraphFont"/>
    <w:uiPriority w:val="99"/>
    <w:semiHidden/>
    <w:unhideWhenUsed/>
    <w:rsid w:val="007363CB"/>
    <w:rPr>
      <w:color w:val="954F72" w:themeColor="followedHyperlink"/>
      <w:u w:val="single"/>
    </w:rPr>
  </w:style>
  <w:style w:type="character" w:customStyle="1" w:styleId="UnresolvedMention1">
    <w:name w:val="Unresolved Mention1"/>
    <w:basedOn w:val="DefaultParagraphFont"/>
    <w:uiPriority w:val="99"/>
    <w:semiHidden/>
    <w:unhideWhenUsed/>
    <w:rsid w:val="007C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gov/agencies/ebsa/employers-and-advisers/plan-administration-and-compliance/disaster-relief/ebsa-disaster-relief-notice-2020-01" TargetMode="External"/><Relationship Id="rId18" Type="http://schemas.openxmlformats.org/officeDocument/2006/relationships/hyperlink" Target="https://www.dol.gov/sites/default/files/ebsa/employers-and-advisers/plan-administration-and-compliance/form-sar-welfare-plan.docx" TargetMode="External"/><Relationship Id="rId26" Type="http://schemas.openxmlformats.org/officeDocument/2006/relationships/hyperlink" Target="https://www.dol.gov/sites/default/files/ebsa/about-ebsa/our-activities/resource-center/publications/compliance-assistance-guide.pdf" TargetMode="External"/><Relationship Id="rId3" Type="http://schemas.openxmlformats.org/officeDocument/2006/relationships/styles" Target="styles.xml"/><Relationship Id="rId21" Type="http://schemas.openxmlformats.org/officeDocument/2006/relationships/hyperlink" Target="https://www.dol.gov/sites/default/files/ebsa/laws-and-regulations/laws/chipra/model-notice.do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rs.gov/pub/irs-drop/n-20-23.pdf" TargetMode="External"/><Relationship Id="rId25" Type="http://schemas.openxmlformats.org/officeDocument/2006/relationships/hyperlink" Target="https://www.hhs.gov/hipaa/for-professionals/privacy/guidance/model-notices-privacy-practices/index.html" TargetMode="External"/><Relationship Id="rId2" Type="http://schemas.openxmlformats.org/officeDocument/2006/relationships/numbering" Target="numbering.xml"/><Relationship Id="rId16" Type="http://schemas.openxmlformats.org/officeDocument/2006/relationships/hyperlink" Target="https://www.dol.gov/agencies/ebsa/employers-and-advisers/plan-administration-and-compliance/reporting-and-filing/forms" TargetMode="External"/><Relationship Id="rId20" Type="http://schemas.openxmlformats.org/officeDocument/2006/relationships/hyperlink" Target="https://www.dol.gov/sites/default/files/ebsa/about-ebsa/our-activities/resource-center/publications/compliance-assistance-guid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dol.gov/sites/default/files/ebsa/laws-and-regulations/laws/affordable-care-act/for-employers-and-advisers/patient-protection-model-notice.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Medicare/Prescription-Drug-Coverage/CreditableCoverage/index.html?redirect=/CreditableCoverage/" TargetMode="External"/><Relationship Id="rId23" Type="http://schemas.openxmlformats.org/officeDocument/2006/relationships/hyperlink" Target="https://www.dol.gov/sites/default/files/ebsa/laws-and-regulations/laws/affordable-care-act/for-employers-and-advisers/grandfathered-health-plans-model-notice.doc" TargetMode="External"/><Relationship Id="rId28" Type="http://schemas.openxmlformats.org/officeDocument/2006/relationships/hyperlink" Target="https://www.eeoc.gov/laws/regulations/ada-wellness-notice.cfm" TargetMode="External"/><Relationship Id="rId10" Type="http://schemas.openxmlformats.org/officeDocument/2006/relationships/image" Target="media/image3.png"/><Relationship Id="rId19" Type="http://schemas.openxmlformats.org/officeDocument/2006/relationships/hyperlink" Target="http://www.cms.gov/Medicare/Prescription-Drug-Coverage/CreditableCoverage/Model-Notice-Letter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rs.gov/pub/irs-drop/n-20-23.pdf" TargetMode="External"/><Relationship Id="rId22" Type="http://schemas.openxmlformats.org/officeDocument/2006/relationships/hyperlink" Target="https://www.dol.gov/agencies/ebsa/laws-and-regulations/laws/affordable-care-act/for-employers-and-advisers/summary-of-benefits" TargetMode="External"/><Relationship Id="rId27" Type="http://schemas.openxmlformats.org/officeDocument/2006/relationships/hyperlink" Target="https://www.dol.gov/sites/default/files/ebsa/about-ebsa/our-activities/resource-center/publications/compliance-assistance-guide.pdf"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3AC4-BA04-4042-B54A-86FF928B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Caitlin Hillenbrand</cp:lastModifiedBy>
  <cp:revision>2</cp:revision>
  <dcterms:created xsi:type="dcterms:W3CDTF">2020-12-02T00:28:00Z</dcterms:created>
  <dcterms:modified xsi:type="dcterms:W3CDTF">2020-12-02T00:28:00Z</dcterms:modified>
</cp:coreProperties>
</file>