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D9" w:rsidRDefault="000178B1" w:rsidP="007201D3">
      <w:pPr>
        <w:pStyle w:val="BodyText"/>
        <w:sectPr w:rsidR="00777DD9" w:rsidSect="009C43ED">
          <w:headerReference w:type="default" r:id="rId8"/>
          <w:footerReference w:type="default" r:id="rId9"/>
          <w:pgSz w:w="12240" w:h="15840"/>
          <w:pgMar w:top="4410" w:right="720" w:bottom="1800" w:left="720" w:header="720" w:footer="720" w:gutter="0"/>
          <w:cols w:space="720"/>
          <w:docGrid w:linePitch="360"/>
        </w:sectPr>
      </w:pPr>
      <w:bookmarkStart w:id="0" w:name="_GoBack"/>
      <w:bookmarkEnd w:id="0"/>
      <w:r w:rsidRPr="00E00FF6">
        <w:rPr>
          <w:noProof/>
        </w:rPr>
        <w:drawing>
          <wp:anchor distT="0" distB="0" distL="114300" distR="114300" simplePos="0" relativeHeight="251658240" behindDoc="0" locked="1" layoutInCell="1" allowOverlap="1">
            <wp:simplePos x="0" y="0"/>
            <wp:positionH relativeFrom="margin">
              <wp:posOffset>4978400</wp:posOffset>
            </wp:positionH>
            <wp:positionV relativeFrom="margin">
              <wp:posOffset>5715000</wp:posOffset>
            </wp:positionV>
            <wp:extent cx="1645923" cy="1120142"/>
            <wp:effectExtent l="0" t="0" r="0" b="0"/>
            <wp:wrapNone/>
            <wp:docPr id="100025" name="Picture 100025" descr="Broker Logo"/>
            <wp:cNvGraphicFramePr/>
            <a:graphic xmlns:a="http://schemas.openxmlformats.org/drawingml/2006/main">
              <a:graphicData uri="http://schemas.openxmlformats.org/drawingml/2006/picture">
                <pic:pic xmlns:pic="http://schemas.openxmlformats.org/drawingml/2006/picture">
                  <pic:nvPicPr>
                    <pic:cNvPr id="100025" name=""/>
                    <pic:cNvPicPr/>
                  </pic:nvPicPr>
                  <pic:blipFill>
                    <a:blip r:embed="rId10"/>
                    <a:stretch>
                      <a:fillRect/>
                    </a:stretch>
                  </pic:blipFill>
                  <pic:spPr>
                    <a:xfrm>
                      <a:off x="0" y="0"/>
                      <a:ext cx="1645923" cy="1120142"/>
                    </a:xfrm>
                    <a:prstGeom prst="rect">
                      <a:avLst/>
                    </a:prstGeom>
                  </pic:spPr>
                </pic:pic>
              </a:graphicData>
            </a:graphic>
          </wp:anchor>
        </w:drawing>
      </w:r>
      <w:r w:rsidRPr="00E00FF6">
        <w:rPr>
          <w:noProof/>
        </w:rPr>
        <mc:AlternateContent>
          <mc:Choice Requires="wps">
            <w:drawing>
              <wp:anchor distT="0" distB="822960" distL="365760" distR="182880" simplePos="0" relativeHeight="251659264" behindDoc="1" locked="0" layoutInCell="1" allowOverlap="1">
                <wp:simplePos x="0" y="0"/>
                <wp:positionH relativeFrom="column">
                  <wp:posOffset>4495800</wp:posOffset>
                </wp:positionH>
                <wp:positionV relativeFrom="page">
                  <wp:posOffset>3076575</wp:posOffset>
                </wp:positionV>
                <wp:extent cx="2423160" cy="5429250"/>
                <wp:effectExtent l="0" t="0" r="0" b="0"/>
                <wp:wrapSquare wrapText="bothSides"/>
                <wp:docPr id="122" name="Text Box 122"/>
                <wp:cNvGraphicFramePr/>
                <a:graphic xmlns:a="http://schemas.openxmlformats.org/drawingml/2006/main">
                  <a:graphicData uri="http://schemas.microsoft.com/office/word/2010/wordprocessingShape">
                    <wps:wsp>
                      <wps:cNvSpPr txBox="1"/>
                      <wps:spPr>
                        <a:xfrm>
                          <a:off x="0" y="0"/>
                          <a:ext cx="2423160" cy="5429250"/>
                        </a:xfrm>
                        <a:prstGeom prst="rect">
                          <a:avLst/>
                        </a:prstGeom>
                        <a:noFill/>
                        <a:ln w="6350">
                          <a:noFill/>
                        </a:ln>
                      </wps:spPr>
                      <wps:txbx>
                        <w:txbxContent>
                          <w:p w:rsidR="00777DD9" w:rsidRDefault="000178B1" w:rsidP="000D733F">
                            <w:r w:rsidRPr="007C6319">
                              <w:rPr>
                                <w:noProof/>
                                <w:vertAlign w:val="subscript"/>
                              </w:rPr>
                              <w:drawing>
                                <wp:inline distT="0" distB="0" distL="0" distR="0">
                                  <wp:extent cx="2238375" cy="371475"/>
                                  <wp:effectExtent l="0" t="0" r="0" b="0"/>
                                  <wp:docPr id="1337986536" name="Picture 9" descr="C:\Users\singleton\Desktop\Projects\Compliabce Bulletin_Leg Brief_Reg Update\Compliance Bulletin\Highlight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ngleton\Desktop\Projects\Compliabce Bulletin_Leg Brief_Reg Update\Compliance Bulletin\Highlights_BLU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38375" cy="371475"/>
                                          </a:xfrm>
                                          <a:prstGeom prst="rect">
                                            <a:avLst/>
                                          </a:prstGeom>
                                          <a:noFill/>
                                          <a:ln>
                                            <a:noFill/>
                                          </a:ln>
                                        </pic:spPr>
                                      </pic:pic>
                                    </a:graphicData>
                                  </a:graphic>
                                </wp:inline>
                              </w:drawing>
                            </w:r>
                          </w:p>
                          <w:p w:rsidR="00777DD9" w:rsidRPr="0091138D" w:rsidRDefault="000178B1" w:rsidP="0091138D">
                            <w:pPr>
                              <w:pStyle w:val="H-Heading"/>
                            </w:pPr>
                            <w:r>
                              <w:t>delivery requirements</w:t>
                            </w:r>
                          </w:p>
                          <w:p w:rsidR="006361BA" w:rsidRPr="003C221A" w:rsidRDefault="000178B1" w:rsidP="006361BA">
                            <w:pPr>
                              <w:pStyle w:val="H-Bulletlist"/>
                            </w:pPr>
                            <w:r w:rsidRPr="003C221A">
                              <w:t xml:space="preserve">The SPD must be provided within 90 days after an employee first becomes covered by the plan. </w:t>
                            </w:r>
                          </w:p>
                          <w:p w:rsidR="006361BA" w:rsidRPr="003C221A" w:rsidRDefault="000178B1" w:rsidP="006361BA">
                            <w:pPr>
                              <w:pStyle w:val="H-Bulletlist"/>
                            </w:pPr>
                            <w:r w:rsidRPr="003C221A">
                              <w:t>Common distribution methods include hand delivery, mail and electronic delivery.</w:t>
                            </w:r>
                          </w:p>
                          <w:p w:rsidR="00777DD9" w:rsidRPr="000D733F" w:rsidRDefault="000178B1" w:rsidP="0091138D">
                            <w:pPr>
                              <w:pStyle w:val="H-Heading"/>
                            </w:pPr>
                            <w:r>
                              <w:t>insured health plans</w:t>
                            </w:r>
                          </w:p>
                          <w:p w:rsidR="006361BA" w:rsidRPr="003C221A" w:rsidRDefault="000178B1" w:rsidP="006361BA">
                            <w:pPr>
                              <w:pStyle w:val="H-Bulletlist"/>
                            </w:pPr>
                            <w:r w:rsidRPr="003C221A">
                              <w:t>The spons</w:t>
                            </w:r>
                            <w:r w:rsidRPr="003C221A">
                              <w:t xml:space="preserve">or of an insured plan (not the issuer) is responsible for providing the SPD. </w:t>
                            </w:r>
                          </w:p>
                          <w:p w:rsidR="006361BA" w:rsidRPr="003C221A" w:rsidRDefault="000178B1" w:rsidP="006361BA">
                            <w:pPr>
                              <w:pStyle w:val="H-Bulletlist"/>
                            </w:pPr>
                            <w:r w:rsidRPr="003C221A">
                              <w:t xml:space="preserve">The insurance certificate typically does not meet all of ERISA’s requirements for SPDs.  </w:t>
                            </w:r>
                          </w:p>
                          <w:p w:rsidR="006361BA" w:rsidRPr="003C221A" w:rsidRDefault="000178B1" w:rsidP="006361BA">
                            <w:pPr>
                              <w:pStyle w:val="H-Bulletlist"/>
                            </w:pPr>
                            <w:r w:rsidRPr="003C221A">
                              <w:t>A compliance solution for insured plans is a “wrap document.”</w:t>
                            </w:r>
                          </w:p>
                          <w:p w:rsidR="00777DD9" w:rsidRPr="00E66D6F" w:rsidRDefault="000178B1" w:rsidP="006361BA">
                            <w:pPr>
                              <w:pStyle w:val="H-Heading"/>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22" o:spid="_x0000_s1025" type="#_x0000_t202" style="height:427.5pt;margin-left:354pt;margin-top:242.25pt;mso-height-percent:0;mso-height-relative:margin;mso-position-vertical-relative:page;mso-width-percent:0;mso-width-relative:margin;mso-wrap-distance-bottom:64.8pt;mso-wrap-distance-left:28.8pt;mso-wrap-distance-right:14.4pt;mso-wrap-distance-top:0;mso-wrap-style:square;position:absolute;v-text-anchor:top;visibility:visible;width:190.8pt;z-index:-251656192" filled="f" stroked="f" strokeweight="0.5pt">
                <v:path arrowok="t" textboxrect="0,0,21600,21600"/>
                <v:textbox>
                  <w:txbxContent>
                    <w:p w:rsidR="00777DD9" w:rsidP="000D733F">
                      <w:r w:rsidRPr="007C6319">
                        <w:rPr>
                          <w:noProof/>
                          <w:vertAlign w:val="subscript"/>
                        </w:rPr>
                        <w:drawing>
                          <wp:inline distT="0" distB="0" distL="0" distR="0">
                            <wp:extent cx="2238375" cy="371475"/>
                            <wp:effectExtent l="0" t="0" r="0" b="0"/>
                            <wp:docPr id="4" name="Picture 9" descr="C:\Users\singleton\Desktop\Projects\Compliabce Bulletin_Leg Brief_Reg Update\Compliance Bulletin\Highlight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ngleton\Desktop\Projects\Compliabce Bulletin_Leg Brief_Reg Update\Compliance Bulletin\Highlights_BLUE.png"/>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2238375" cy="371475"/>
                                    </a:xfrm>
                                    <a:prstGeom prst="rect">
                                      <a:avLst/>
                                    </a:prstGeom>
                                    <a:noFill/>
                                    <a:ln>
                                      <a:noFill/>
                                    </a:ln>
                                  </pic:spPr>
                                </pic:pic>
                              </a:graphicData>
                            </a:graphic>
                          </wp:inline>
                        </w:drawing>
                      </w:r>
                    </w:p>
                    <w:p w:rsidR="00777DD9" w:rsidRPr="0091138D" w:rsidP="0091138D">
                      <w:pPr>
                        <w:pStyle w:val="H-Heading"/>
                      </w:pPr>
                      <w:r>
                        <w:t>delivery requirements</w:t>
                      </w:r>
                    </w:p>
                    <w:p w:rsidR="006361BA" w:rsidRPr="003C221A" w:rsidP="006361BA">
                      <w:pPr>
                        <w:pStyle w:val="H-Bulletlist0"/>
                      </w:pPr>
                      <w:r w:rsidRPr="003C221A">
                        <w:t xml:space="preserve">The SPD must be provided within 90 days after an employee first becomes covered by the plan. </w:t>
                      </w:r>
                    </w:p>
                    <w:p w:rsidR="006361BA" w:rsidRPr="003C221A" w:rsidP="006361BA">
                      <w:pPr>
                        <w:pStyle w:val="H-Bulletlist0"/>
                      </w:pPr>
                      <w:r w:rsidRPr="003C221A">
                        <w:t>Common distribution methods include hand delivery, mail and electronic delivery.</w:t>
                      </w:r>
                    </w:p>
                    <w:p w:rsidR="00777DD9" w:rsidRPr="000D733F" w:rsidP="0091138D">
                      <w:pPr>
                        <w:pStyle w:val="H-Heading"/>
                      </w:pPr>
                      <w:r>
                        <w:t>insured health plans</w:t>
                      </w:r>
                    </w:p>
                    <w:p w:rsidR="006361BA" w:rsidRPr="003C221A" w:rsidP="006361BA">
                      <w:pPr>
                        <w:pStyle w:val="H-Bulletlist0"/>
                      </w:pPr>
                      <w:r w:rsidRPr="003C221A">
                        <w:t xml:space="preserve">The sponsor of an insured plan (not the issuer) is responsible for providing the SPD. </w:t>
                      </w:r>
                    </w:p>
                    <w:p w:rsidR="006361BA" w:rsidRPr="003C221A" w:rsidP="006361BA">
                      <w:pPr>
                        <w:pStyle w:val="H-Bulletlist0"/>
                      </w:pPr>
                      <w:r w:rsidRPr="003C221A">
                        <w:t xml:space="preserve">The insurance certificate typically does not meet all of ERISA’s requirements for SPDs.  </w:t>
                      </w:r>
                    </w:p>
                    <w:p w:rsidR="006361BA" w:rsidRPr="003C221A" w:rsidP="006361BA">
                      <w:pPr>
                        <w:pStyle w:val="H-Bulletlist0"/>
                      </w:pPr>
                      <w:r w:rsidRPr="003C221A">
                        <w:t>A compliance solution for insured plans is a “wrap document.”</w:t>
                      </w:r>
                    </w:p>
                    <w:p w:rsidR="00777DD9" w:rsidRPr="00E66D6F" w:rsidP="006361BA">
                      <w:pPr>
                        <w:pStyle w:val="H-Heading"/>
                      </w:pP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-74930</wp:posOffset>
                </wp:positionH>
                <wp:positionV relativeFrom="paragraph">
                  <wp:posOffset>-20320</wp:posOffset>
                </wp:positionV>
                <wp:extent cx="4480560" cy="504190"/>
                <wp:effectExtent l="0" t="0" r="0" b="0"/>
                <wp:wrapNone/>
                <wp:docPr id="3" name="Text Box 1"/>
                <wp:cNvGraphicFramePr/>
                <a:graphic xmlns:a="http://schemas.openxmlformats.org/drawingml/2006/main">
                  <a:graphicData uri="http://schemas.microsoft.com/office/word/2010/wordprocessingShape">
                    <wps:wsp>
                      <wps:cNvSpPr txBox="1"/>
                      <wps:spPr>
                        <a:xfrm>
                          <a:off x="0" y="0"/>
                          <a:ext cx="4480560" cy="504190"/>
                        </a:xfrm>
                        <a:prstGeom prst="rect">
                          <a:avLst/>
                        </a:prstGeom>
                        <a:noFill/>
                        <a:ln w="6350">
                          <a:noFill/>
                        </a:ln>
                      </wps:spPr>
                      <wps:txbx>
                        <w:txbxContent>
                          <w:p w:rsidR="009C43ED" w:rsidRPr="00E00FF6" w:rsidRDefault="000178B1" w:rsidP="00E00FF6">
                            <w:pPr>
                              <w:pStyle w:val="MergeField"/>
                              <w:rPr>
                                <w:rStyle w:val="Strong"/>
                                <w:color w:val="4884A2"/>
                              </w:rPr>
                            </w:pPr>
                            <w:r w:rsidRPr="00E00FF6">
                              <w:rPr>
                                <w:rStyle w:val="Strong"/>
                                <w:color w:val="4884A2"/>
                              </w:rPr>
                              <w:t xml:space="preserve">Provided by AHT </w:t>
                            </w:r>
                            <w:r w:rsidRPr="00E00FF6">
                              <w:rPr>
                                <w:rStyle w:val="Strong"/>
                                <w:color w:val="4884A2"/>
                              </w:rPr>
                              <w:t>Insurance</w:t>
                            </w:r>
                          </w:p>
                        </w:txbxContent>
                      </wps:txbx>
                      <wps:bodyPr rot="0" spcFirstLastPara="0" vertOverflow="overflow" horzOverflow="overflow" vert="horz" wrap="square" numCol="1" spcCol="0" rtlCol="0" fromWordArt="0" anchor="t" anchorCtr="0" forceAA="0" compatLnSpc="1">
                        <a:prstTxWarp prst="textNoShape">
                          <a:avLst/>
                        </a:prstTxWarp>
                        <a:spAutoFit/>
                      </wps:bodyPr>
                    </wps:wsp>
                  </a:graphicData>
                </a:graphic>
              </wp:anchor>
            </w:drawing>
          </mc:Choice>
          <mc:Fallback>
            <w:pict>
              <v:shape id="Text Box 1" o:spid="_x0000_s1026" type="#_x0000_t202" style="height:39.7pt;margin-left:-5.9pt;margin-top:-1.6pt;mso-height-percent:0;mso-height-relative:page;mso-width-percent:0;mso-width-relative:margin;mso-wrap-distance-bottom:0;mso-wrap-distance-left:9pt;mso-wrap-distance-right:9pt;mso-wrap-distance-top:0;position:absolute;width:352.8pt;z-index:251663360" filled="f" fillcolor="this" stroked="f" strokeweight="0.5pt">
                <v:textbox style="mso-fit-shape-to-text:t">
                  <w:txbxContent>
                    <w:p w:rsidR="009C43ED" w:rsidRPr="00E00FF6" w:rsidP="00E00FF6">
                      <w:pPr>
                        <w:pStyle w:val="MergeField"/>
                        <w:rPr>
                          <w:rStyle w:val="Strong"/>
                          <w:color w:val="4884A2"/>
                        </w:rPr>
                      </w:pPr>
                      <w:r w:rsidRPr="00E00FF6">
                        <w:rPr>
                          <w:rStyle w:val="Strong"/>
                          <w:color w:val="4884A2"/>
                        </w:rPr>
                        <w:t>Provided by AHT Insurance</w:t>
                      </w:r>
                    </w:p>
                  </w:txbxContent>
                </v:textbox>
              </v:shape>
            </w:pict>
          </mc:Fallback>
        </mc:AlternateContent>
      </w:r>
    </w:p>
    <w:p w:rsidR="00A22068" w:rsidRPr="00E00FF6" w:rsidRDefault="000178B1" w:rsidP="00591A93">
      <w:pPr>
        <w:pStyle w:val="Title"/>
        <w:spacing w:after="120"/>
      </w:pPr>
      <w:r>
        <w:t>Summary Plan Descriptions</w:t>
      </w:r>
      <w:r>
        <w:t xml:space="preserve"> (SPDs)</w:t>
      </w:r>
    </w:p>
    <w:p w:rsidR="00591A93" w:rsidRPr="00591A93" w:rsidRDefault="000178B1" w:rsidP="006361BA">
      <w:pPr>
        <w:pStyle w:val="BodyText"/>
        <w:spacing w:before="120"/>
      </w:pPr>
      <w:r w:rsidRPr="00591A93">
        <w:t xml:space="preserve">All group health plans subject to the Employee Retirement Income Security Act (ERISA) are required to provide participants with a summary plan description (SPD). An SPD must be written in a manner calculated to </w:t>
      </w:r>
      <w:r w:rsidRPr="00591A93">
        <w:t>be understood by the average plan participant and must be sufficiently comprehensive to inform the participant of his or her rights and obligations under the plan.</w:t>
      </w:r>
    </w:p>
    <w:p w:rsidR="00591A93" w:rsidRPr="00591A93" w:rsidRDefault="000178B1" w:rsidP="006361BA">
      <w:pPr>
        <w:pStyle w:val="BodyText"/>
        <w:spacing w:before="120"/>
      </w:pPr>
      <w:r w:rsidRPr="00591A93">
        <w:t>The SPD must be automatically distributed to plan participants by certain deadlines. It also</w:t>
      </w:r>
      <w:r w:rsidRPr="00591A93">
        <w:t xml:space="preserve"> must be provided upon a participant’s request. Because the main purpose of the SPD is to inform participants of their rights and obligations under the plan, the SPD must include specific types of information, such as the plan’s eligibility rules.  </w:t>
      </w:r>
    </w:p>
    <w:p w:rsidR="00591A93" w:rsidRDefault="000178B1" w:rsidP="006361BA">
      <w:pPr>
        <w:pStyle w:val="BodyText"/>
        <w:spacing w:before="120"/>
      </w:pPr>
      <w:r w:rsidRPr="00591A93">
        <w:t xml:space="preserve">There </w:t>
      </w:r>
      <w:r w:rsidRPr="00591A93">
        <w:t>are serious legal consequences associated with not complying with ERISA’s requirements for SPDs. For example, a plan sponsor can be charged up to $110 per day if does not provide the SPD within 30 days after a participant’s request.</w:t>
      </w:r>
      <w:r>
        <w:t xml:space="preserve"> </w:t>
      </w:r>
    </w:p>
    <w:p w:rsidR="007414C5" w:rsidRDefault="000178B1" w:rsidP="007201D3">
      <w:pPr>
        <w:pStyle w:val="BodyText"/>
      </w:pPr>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ge">
                  <wp:posOffset>7402830</wp:posOffset>
                </wp:positionV>
                <wp:extent cx="4114800" cy="1416685"/>
                <wp:effectExtent l="0" t="0" r="0" b="0"/>
                <wp:wrapTopAndBottom/>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16685"/>
                        </a:xfrm>
                        <a:prstGeom prst="rect">
                          <a:avLst/>
                        </a:prstGeom>
                        <a:solidFill>
                          <a:srgbClr val="82B0CC">
                            <a:alpha val="2000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8497C" w:rsidRDefault="000178B1" w:rsidP="007201D3">
                            <w:pPr>
                              <w:pStyle w:val="LR-Heading"/>
                            </w:pPr>
                            <w:r w:rsidRPr="007201D3">
                              <w:t>Links and Resources</w:t>
                            </w:r>
                          </w:p>
                          <w:p w:rsidR="00591A93" w:rsidRPr="003C221A" w:rsidRDefault="000178B1" w:rsidP="00591A93">
                            <w:pPr>
                              <w:pStyle w:val="LR-BulletList"/>
                            </w:pPr>
                            <w:r w:rsidRPr="003C221A">
                              <w:t xml:space="preserve">Department of Labor (DOL) </w:t>
                            </w:r>
                            <w:hyperlink r:id="rId13" w:history="1">
                              <w:r w:rsidRPr="003C221A">
                                <w:rPr>
                                  <w:rStyle w:val="Hyperlink"/>
                                  <w:color w:val="595959"/>
                                  <w:szCs w:val="22"/>
                                </w:rPr>
                                <w:t>final SPD regulations</w:t>
                              </w:r>
                            </w:hyperlink>
                            <w:r w:rsidRPr="003C221A">
                              <w:t xml:space="preserve"> from Nov. 21, 2000</w:t>
                            </w:r>
                          </w:p>
                          <w:p w:rsidR="00591A93" w:rsidRPr="003C221A" w:rsidRDefault="000178B1" w:rsidP="00591A93">
                            <w:pPr>
                              <w:pStyle w:val="LR-BulletList"/>
                            </w:pPr>
                            <w:r w:rsidRPr="003C221A">
                              <w:t xml:space="preserve">DOL’s </w:t>
                            </w:r>
                            <w:hyperlink r:id="rId14" w:history="1">
                              <w:r w:rsidRPr="003C221A">
                                <w:rPr>
                                  <w:rStyle w:val="Hyperlink"/>
                                  <w:color w:val="595959"/>
                                  <w:szCs w:val="22"/>
                                </w:rPr>
                                <w:t xml:space="preserve">Reporting and Disclosure Guide for Employee Benefit </w:t>
                              </w:r>
                              <w:r w:rsidRPr="003C221A">
                                <w:rPr>
                                  <w:rStyle w:val="Hyperlink"/>
                                  <w:color w:val="595959"/>
                                  <w:szCs w:val="22"/>
                                </w:rPr>
                                <w:t>Plans</w:t>
                              </w:r>
                            </w:hyperlink>
                          </w:p>
                          <w:p w:rsidR="00591A93" w:rsidRPr="007201D3" w:rsidRDefault="000178B1" w:rsidP="00591A93">
                            <w:pPr>
                              <w:pStyle w:val="LR-BulletList"/>
                              <w:numPr>
                                <w:ilvl w:val="0"/>
                                <w:numId w:val="0"/>
                              </w:numPr>
                              <w:ind w:left="288"/>
                            </w:pPr>
                          </w:p>
                        </w:txbxContent>
                      </wps:txbx>
                      <wps:bodyPr rot="0" vert="horz" wrap="square" anchor="t" anchorCtr="0" upright="1"/>
                    </wps:wsp>
                  </a:graphicData>
                </a:graphic>
              </wp:anchor>
            </w:drawing>
          </mc:Choice>
          <mc:Fallback>
            <w:pict>
              <v:shape id="Text Box 65" o:spid="_x0000_s1027" type="#_x0000_t202" style="height:111.55pt;margin-left:1.5pt;margin-top:582.9pt;mso-height-percent:0;mso-height-relative:margin;mso-position-vertical-relative:page;mso-width-percent:0;mso-width-relative:margin;mso-wrap-distance-bottom:0;mso-wrap-distance-left:9pt;mso-wrap-distance-right:9pt;mso-wrap-distance-top:0;mso-wrap-style:square;position:absolute;v-text-anchor:top;visibility:visible;width:324pt;z-index:251662336" fillcolor="#82b0cc" stroked="f" strokeweight="0.5pt">
                <v:fill opacity="13107f"/>
                <v:textbox>
                  <w:txbxContent>
                    <w:p w:rsidR="00D8497C" w:rsidP="007201D3">
                      <w:pPr>
                        <w:pStyle w:val="LR-Heading"/>
                      </w:pPr>
                      <w:r w:rsidRPr="007201D3">
                        <w:t>Links and Resources</w:t>
                      </w:r>
                    </w:p>
                    <w:p w:rsidR="00591A93" w:rsidRPr="003C221A" w:rsidP="00591A93">
                      <w:pPr>
                        <w:pStyle w:val="LR-BulletList"/>
                      </w:pPr>
                      <w:r w:rsidRPr="003C221A">
                        <w:t xml:space="preserve">Department of Labor (DOL) </w:t>
                      </w:r>
                      <w:r>
                        <w:fldChar w:fldCharType="begin"/>
                      </w:r>
                      <w:r>
                        <w:instrText xml:space="preserve"> HYPERLINK "https://www.gpo.gov/fdsys/pkg/FR-2000-11-21/pdf/00-29765.pdf" </w:instrText>
                      </w:r>
                      <w:r>
                        <w:fldChar w:fldCharType="separate"/>
                      </w:r>
                      <w:r w:rsidRPr="003C221A">
                        <w:rPr>
                          <w:rStyle w:val="Hyperlink"/>
                          <w:color w:val="595959"/>
                          <w:szCs w:val="22"/>
                        </w:rPr>
                        <w:t>final SPD regu</w:t>
                      </w:r>
                      <w:r w:rsidRPr="003C221A">
                        <w:rPr>
                          <w:rStyle w:val="Hyperlink"/>
                          <w:color w:val="595959"/>
                          <w:szCs w:val="22"/>
                        </w:rPr>
                        <w:t>l</w:t>
                      </w:r>
                      <w:r w:rsidRPr="003C221A">
                        <w:rPr>
                          <w:rStyle w:val="Hyperlink"/>
                          <w:color w:val="595959"/>
                          <w:szCs w:val="22"/>
                        </w:rPr>
                        <w:t>a</w:t>
                      </w:r>
                      <w:r w:rsidRPr="003C221A">
                        <w:rPr>
                          <w:rStyle w:val="Hyperlink"/>
                          <w:color w:val="595959"/>
                          <w:szCs w:val="22"/>
                        </w:rPr>
                        <w:t>t</w:t>
                      </w:r>
                      <w:r w:rsidRPr="003C221A">
                        <w:rPr>
                          <w:rStyle w:val="Hyperlink"/>
                          <w:color w:val="595959"/>
                          <w:szCs w:val="22"/>
                        </w:rPr>
                        <w:t>ions</w:t>
                      </w:r>
                      <w:r>
                        <w:fldChar w:fldCharType="end"/>
                      </w:r>
                      <w:r w:rsidRPr="003C221A">
                        <w:t xml:space="preserve"> from Nov. 21, 2000</w:t>
                      </w:r>
                    </w:p>
                    <w:p w:rsidR="00591A93" w:rsidRPr="003C221A" w:rsidP="00591A93">
                      <w:pPr>
                        <w:pStyle w:val="LR-BulletList"/>
                      </w:pPr>
                      <w:r w:rsidRPr="003C221A">
                        <w:t xml:space="preserve">DOL’s </w:t>
                      </w:r>
                      <w:r>
                        <w:fldChar w:fldCharType="begin"/>
                      </w:r>
                      <w:r>
                        <w:instrText xml:space="preserve"> HYPERLINK "http://www.dol.gov/ebsa/pdf/rdguide.pdf" </w:instrText>
                      </w:r>
                      <w:r>
                        <w:fldChar w:fldCharType="separate"/>
                      </w:r>
                      <w:r w:rsidRPr="003C221A">
                        <w:rPr>
                          <w:rStyle w:val="Hyperlink"/>
                          <w:color w:val="595959"/>
                          <w:szCs w:val="22"/>
                        </w:rPr>
                        <w:t>Reporting and Disclosure Guide</w:t>
                      </w:r>
                      <w:r w:rsidRPr="003C221A">
                        <w:rPr>
                          <w:rStyle w:val="Hyperlink"/>
                          <w:color w:val="595959"/>
                          <w:szCs w:val="22"/>
                        </w:rPr>
                        <w:t xml:space="preserve"> </w:t>
                      </w:r>
                      <w:r w:rsidRPr="003C221A">
                        <w:rPr>
                          <w:rStyle w:val="Hyperlink"/>
                          <w:color w:val="595959"/>
                          <w:szCs w:val="22"/>
                        </w:rPr>
                        <w:t>for Employee Be</w:t>
                      </w:r>
                      <w:r w:rsidRPr="003C221A">
                        <w:rPr>
                          <w:rStyle w:val="Hyperlink"/>
                          <w:color w:val="595959"/>
                          <w:szCs w:val="22"/>
                        </w:rPr>
                        <w:t>n</w:t>
                      </w:r>
                      <w:r w:rsidRPr="003C221A">
                        <w:rPr>
                          <w:rStyle w:val="Hyperlink"/>
                          <w:color w:val="595959"/>
                          <w:szCs w:val="22"/>
                        </w:rPr>
                        <w:t>efit Plans</w:t>
                      </w:r>
                      <w:r>
                        <w:fldChar w:fldCharType="end"/>
                      </w:r>
                    </w:p>
                    <w:p w:rsidR="00591A93" w:rsidRPr="007201D3" w:rsidP="00591A93">
                      <w:pPr>
                        <w:pStyle w:val="LR-BulletList"/>
                        <w:numPr>
                          <w:ilvl w:val="0"/>
                          <w:numId w:val="0"/>
                        </w:numPr>
                        <w:ind w:left="288"/>
                      </w:pPr>
                    </w:p>
                  </w:txbxContent>
                </v:textbox>
                <w10:wrap type="topAndBottom"/>
              </v:shape>
            </w:pict>
          </mc:Fallback>
        </mc:AlternateContent>
      </w:r>
      <w:r w:rsidRPr="00591A93">
        <w:t>This Compliance Overview addresses many of the commonly asked questions about SPDs. It also contains a checklist for the basic information that is required in an SPD</w:t>
      </w:r>
      <w:r>
        <w:t xml:space="preserve">. </w:t>
      </w:r>
    </w:p>
    <w:p w:rsidR="00591A93" w:rsidRDefault="000178B1" w:rsidP="007201D3">
      <w:pPr>
        <w:pStyle w:val="BodyText"/>
        <w:sectPr w:rsidR="00591A93" w:rsidSect="00451D29">
          <w:headerReference w:type="default" r:id="rId15"/>
          <w:footerReference w:type="default" r:id="rId16"/>
          <w:type w:val="continuous"/>
          <w:pgSz w:w="12240" w:h="15840"/>
          <w:pgMar w:top="1620" w:right="720" w:bottom="720" w:left="720" w:header="720" w:footer="389" w:gutter="0"/>
          <w:cols w:space="720"/>
          <w:docGrid w:linePitch="360"/>
        </w:sectPr>
      </w:pPr>
    </w:p>
    <w:p w:rsidR="00A563F6" w:rsidRDefault="000178B1" w:rsidP="00A563F6">
      <w:pPr>
        <w:pStyle w:val="Heading1"/>
      </w:pPr>
      <w:r>
        <w:lastRenderedPageBreak/>
        <w:t xml:space="preserve">WHAT IS A SUMMARY PLAN DESCRIPTION? </w:t>
      </w:r>
    </w:p>
    <w:p w:rsidR="00A563F6" w:rsidRDefault="000178B1" w:rsidP="00A563F6">
      <w:pPr>
        <w:pStyle w:val="BodyText"/>
      </w:pPr>
      <w:r w:rsidRPr="00A563F6">
        <w:t xml:space="preserve">The SPD is a key compliance document for virtually every ERISA plan. According to the DOL, “the SPD is the primary vehicle for informing participants and beneficiaries about their rights and benefits under the employee </w:t>
      </w:r>
      <w:r w:rsidRPr="00A563F6">
        <w:t>benefit plans in which they participate.” Due to its importance, the SPD must be written in a manner calculated to be understood by the average plan participant. Also, ERISA and underlying Department of Labor (DOL) regulations include strict requirements f</w:t>
      </w:r>
      <w:r w:rsidRPr="00A563F6">
        <w:t xml:space="preserve">or the content and delivery of SPDs. </w:t>
      </w:r>
    </w:p>
    <w:p w:rsidR="00A563F6" w:rsidRDefault="000178B1" w:rsidP="00A563F6">
      <w:pPr>
        <w:pStyle w:val="BodyText"/>
      </w:pPr>
      <w:r>
        <w:rPr>
          <w:noProof/>
        </w:rPr>
        <mc:AlternateContent>
          <mc:Choice Requires="wps">
            <w:drawing>
              <wp:anchor distT="0" distB="0" distL="114300" distR="114300" simplePos="0" relativeHeight="251665408" behindDoc="0" locked="0" layoutInCell="1" allowOverlap="1">
                <wp:simplePos x="0" y="0"/>
                <wp:positionH relativeFrom="margin">
                  <wp:posOffset>-19050</wp:posOffset>
                </wp:positionH>
                <wp:positionV relativeFrom="paragraph">
                  <wp:posOffset>260985</wp:posOffset>
                </wp:positionV>
                <wp:extent cx="1028700" cy="8763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28700" cy="876300"/>
                        </a:xfrm>
                        <a:prstGeom prst="rect">
                          <a:avLst/>
                        </a:prstGeom>
                        <a:solidFill>
                          <a:sysClr val="window" lastClr="FFFFFF"/>
                        </a:solidFill>
                        <a:ln w="6350">
                          <a:noFill/>
                        </a:ln>
                      </wps:spPr>
                      <wps:txbx>
                        <w:txbxContent>
                          <w:p w:rsidR="00A563F6" w:rsidRPr="00FA2343" w:rsidRDefault="000178B1" w:rsidP="00FA2343">
                            <w:pPr>
                              <w:pStyle w:val="H-Text"/>
                              <w:jc w:val="center"/>
                              <w:rPr>
                                <w:b/>
                              </w:rPr>
                            </w:pPr>
                            <w:r w:rsidRPr="00FA2343">
                              <w:rPr>
                                <w:b/>
                              </w:rPr>
                              <w:t>ERISA includes standards for: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5" o:spid="_x0000_s1028" type="#_x0000_t202" style="height:69pt;margin-left:-1.5pt;margin-top:20.55pt;mso-height-percent:0;mso-height-relative:margin;mso-position-horizontal-relative:margin;mso-width-percent:0;mso-width-relative:margin;mso-wrap-distance-bottom:0;mso-wrap-distance-left:9pt;mso-wrap-distance-right:9pt;mso-wrap-distance-top:0;mso-wrap-style:square;position:absolute;v-text-anchor:top;visibility:visible;width:81pt;z-index:251666432" fillcolor="window" stroked="f" strokeweight="0.5pt">
                <v:path arrowok="t" textboxrect="0,0,21600,21600"/>
                <v:textbox>
                  <w:txbxContent>
                    <w:p w:rsidR="00A563F6" w:rsidRPr="00FA2343" w:rsidP="00FA2343">
                      <w:pPr>
                        <w:pStyle w:val="H-Text"/>
                        <w:jc w:val="center"/>
                        <w:rPr>
                          <w:b/>
                        </w:rPr>
                      </w:pPr>
                      <w:r w:rsidRPr="00FA2343">
                        <w:rPr>
                          <w:b/>
                        </w:rPr>
                        <w:t>ERISA includes standards for:</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2276475</wp:posOffset>
                </wp:positionH>
                <wp:positionV relativeFrom="paragraph">
                  <wp:posOffset>146050</wp:posOffset>
                </wp:positionV>
                <wp:extent cx="3629025" cy="115252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3629025" cy="1152525"/>
                        </a:xfrm>
                        <a:prstGeom prst="rect">
                          <a:avLst/>
                        </a:prstGeom>
                        <a:solidFill>
                          <a:srgbClr val="5B9BD5">
                            <a:lumMod val="20000"/>
                            <a:lumOff val="80000"/>
                          </a:srgbClr>
                        </a:solidFill>
                        <a:ln w="6350">
                          <a:noFill/>
                        </a:ln>
                      </wps:spPr>
                      <wps:txbx>
                        <w:txbxContent>
                          <w:p w:rsidR="00A563F6" w:rsidRPr="00BA6AED" w:rsidRDefault="000178B1" w:rsidP="00A563F6">
                            <w:pPr>
                              <w:pStyle w:val="ListParagraph"/>
                              <w:numPr>
                                <w:ilvl w:val="0"/>
                                <w:numId w:val="17"/>
                              </w:numPr>
                              <w:spacing w:before="120" w:after="120" w:line="240" w:lineRule="auto"/>
                              <w:ind w:left="461" w:hanging="274"/>
                              <w:contextualSpacing w:val="0"/>
                              <w:rPr>
                                <w:sz w:val="22"/>
                              </w:rPr>
                            </w:pPr>
                            <w:r w:rsidRPr="00BA6AED">
                              <w:rPr>
                                <w:sz w:val="22"/>
                              </w:rPr>
                              <w:t>The information that must be included in the SPD;</w:t>
                            </w:r>
                          </w:p>
                          <w:p w:rsidR="00A563F6" w:rsidRPr="00BA6AED" w:rsidRDefault="000178B1" w:rsidP="00A563F6">
                            <w:pPr>
                              <w:pStyle w:val="ListParagraph"/>
                              <w:numPr>
                                <w:ilvl w:val="0"/>
                                <w:numId w:val="17"/>
                              </w:numPr>
                              <w:spacing w:before="120" w:after="120" w:line="240" w:lineRule="auto"/>
                              <w:ind w:left="450" w:hanging="270"/>
                              <w:contextualSpacing w:val="0"/>
                              <w:rPr>
                                <w:sz w:val="22"/>
                              </w:rPr>
                            </w:pPr>
                            <w:r w:rsidRPr="00BA6AED">
                              <w:rPr>
                                <w:sz w:val="22"/>
                              </w:rPr>
                              <w:t xml:space="preserve">When the SPD must be provided to plan participants; and </w:t>
                            </w:r>
                          </w:p>
                          <w:p w:rsidR="00A563F6" w:rsidRPr="00BA6AED" w:rsidRDefault="000178B1" w:rsidP="00A563F6">
                            <w:pPr>
                              <w:pStyle w:val="ListParagraph"/>
                              <w:numPr>
                                <w:ilvl w:val="0"/>
                                <w:numId w:val="17"/>
                              </w:numPr>
                              <w:spacing w:before="120" w:after="120" w:line="240" w:lineRule="auto"/>
                              <w:ind w:left="450" w:hanging="270"/>
                              <w:contextualSpacing w:val="0"/>
                              <w:rPr>
                                <w:sz w:val="22"/>
                              </w:rPr>
                            </w:pPr>
                            <w:r w:rsidRPr="00BA6AED">
                              <w:rPr>
                                <w:sz w:val="22"/>
                              </w:rPr>
                              <w:t>How the SPD may be distributed.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8" o:spid="_x0000_s1029" type="#_x0000_t202" style="height:90.75pt;margin-left:179.25pt;margin-top:11.5pt;mso-height-percent:0;mso-height-relative:margin;mso-width-percent:0;mso-width-relative:margin;mso-wrap-distance-bottom:0;mso-wrap-distance-left:9pt;mso-wrap-distance-right:9pt;mso-wrap-distance-top:0;mso-wrap-style:square;position:absolute;v-text-anchor:top;visibility:visible;width:285.75pt;z-index:251670528" fillcolor="#deebf7" stroked="f" strokeweight="0.5pt">
                <v:path arrowok="t" textboxrect="0,0,21600,21600"/>
                <v:textbox>
                  <w:txbxContent>
                    <w:p w:rsidR="00A563F6" w:rsidRPr="00BA6AED" w:rsidP="00A563F6">
                      <w:pPr>
                        <w:pStyle w:val="ListParagraph"/>
                        <w:numPr>
                          <w:ilvl w:val="0"/>
                          <w:numId w:val="17"/>
                        </w:numPr>
                        <w:spacing w:before="120" w:after="120" w:line="240" w:lineRule="auto"/>
                        <w:ind w:left="461" w:hanging="274"/>
                        <w:contextualSpacing w:val="0"/>
                        <w:rPr>
                          <w:sz w:val="22"/>
                        </w:rPr>
                      </w:pPr>
                      <w:r w:rsidRPr="00BA6AED">
                        <w:rPr>
                          <w:sz w:val="22"/>
                        </w:rPr>
                        <w:t>The information that must be included in the SPD;</w:t>
                      </w:r>
                    </w:p>
                    <w:p w:rsidR="00A563F6" w:rsidRPr="00BA6AED" w:rsidP="00A563F6">
                      <w:pPr>
                        <w:pStyle w:val="ListParagraph"/>
                        <w:numPr>
                          <w:ilvl w:val="0"/>
                          <w:numId w:val="17"/>
                        </w:numPr>
                        <w:spacing w:before="120" w:after="120" w:line="240" w:lineRule="auto"/>
                        <w:ind w:left="450" w:hanging="270"/>
                        <w:contextualSpacing w:val="0"/>
                        <w:rPr>
                          <w:sz w:val="22"/>
                        </w:rPr>
                      </w:pPr>
                      <w:r w:rsidRPr="00BA6AED">
                        <w:rPr>
                          <w:sz w:val="22"/>
                        </w:rPr>
                        <w:t xml:space="preserve">When the SPD must be provided to plan participants; and </w:t>
                      </w:r>
                    </w:p>
                    <w:p w:rsidR="00A563F6" w:rsidRPr="00BA6AED" w:rsidP="00A563F6">
                      <w:pPr>
                        <w:pStyle w:val="ListParagraph"/>
                        <w:numPr>
                          <w:ilvl w:val="0"/>
                          <w:numId w:val="17"/>
                        </w:numPr>
                        <w:spacing w:before="120" w:after="120" w:line="240" w:lineRule="auto"/>
                        <w:ind w:left="450" w:hanging="270"/>
                        <w:contextualSpacing w:val="0"/>
                        <w:rPr>
                          <w:sz w:val="22"/>
                        </w:rPr>
                      </w:pPr>
                      <w:r w:rsidRPr="00BA6AED">
                        <w:rPr>
                          <w:sz w:val="22"/>
                        </w:rPr>
                        <w:t>How the SPD may be distributed.</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1057275</wp:posOffset>
                </wp:positionH>
                <wp:positionV relativeFrom="paragraph">
                  <wp:posOffset>307340</wp:posOffset>
                </wp:positionV>
                <wp:extent cx="1009650" cy="704850"/>
                <wp:effectExtent l="0" t="19050" r="38100" b="38100"/>
                <wp:wrapNone/>
                <wp:docPr id="16" name="Right Arrow 16"/>
                <wp:cNvGraphicFramePr/>
                <a:graphic xmlns:a="http://schemas.openxmlformats.org/drawingml/2006/main">
                  <a:graphicData uri="http://schemas.microsoft.com/office/word/2010/wordprocessingShape">
                    <wps:wsp>
                      <wps:cNvSpPr/>
                      <wps:spPr>
                        <a:xfrm>
                          <a:off x="0" y="0"/>
                          <a:ext cx="1009650" cy="704850"/>
                        </a:xfrm>
                        <a:prstGeom prst="rightArrow">
                          <a:avLst/>
                        </a:prstGeom>
                        <a:solidFill>
                          <a:srgbClr val="ED7D31">
                            <a:lumMod val="75000"/>
                          </a:srgbClr>
                        </a:solidFill>
                        <a:ln w="12700">
                          <a:solidFill>
                            <a:srgbClr val="ED7D31">
                              <a:shade val="50000"/>
                            </a:srgbClr>
                          </a:solidFill>
                          <a:miter lim="800000"/>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0" type="#_x0000_t13" style="height:55.5pt;margin-left:83.25pt;margin-top:24.2pt;mso-height-percent:0;mso-height-relative:margin;mso-width-percent:0;mso-width-relative:margin;mso-wrap-distance-bottom:0;mso-wrap-distance-left:9pt;mso-wrap-distance-right:9pt;mso-wrap-distance-top:0;mso-wrap-style:square;position:absolute;v-text-anchor:middle;visibility:visible;width:79.5pt;z-index:251668480" adj="14060" fillcolor="#c55a11" strokecolor="#ae5a21" strokeweight="1pt">
                <v:path arrowok="t"/>
              </v:shape>
            </w:pict>
          </mc:Fallback>
        </mc:AlternateContent>
      </w:r>
    </w:p>
    <w:p w:rsidR="00A563F6" w:rsidRDefault="000178B1" w:rsidP="00A563F6">
      <w:pPr>
        <w:pStyle w:val="BodyText"/>
      </w:pPr>
    </w:p>
    <w:p w:rsidR="00A563F6" w:rsidRDefault="000178B1" w:rsidP="00A563F6">
      <w:pPr>
        <w:pStyle w:val="BodyText"/>
      </w:pPr>
    </w:p>
    <w:p w:rsidR="00A563F6" w:rsidRDefault="000178B1" w:rsidP="00A563F6">
      <w:pPr>
        <w:pStyle w:val="BodyText"/>
      </w:pPr>
    </w:p>
    <w:p w:rsidR="00A563F6" w:rsidRDefault="000178B1" w:rsidP="00A563F6">
      <w:pPr>
        <w:pStyle w:val="Heading1"/>
      </w:pPr>
      <w:r>
        <w:t>ARE ALL GROUP HEALTH PLANS REQUIRED TO</w:t>
      </w:r>
      <w:r>
        <w:t xml:space="preserve"> PROVIDE AN SPD? </w:t>
      </w:r>
    </w:p>
    <w:p w:rsidR="00A563F6" w:rsidRDefault="000178B1" w:rsidP="00A563F6">
      <w:pPr>
        <w:pStyle w:val="BodyText"/>
      </w:pPr>
      <w:r>
        <w:t>Virtually all group health plans subject to ERISA must provide participants with an SPD, regardless of size. Both insured and self-funded group health plans must comply with ERISA’s SPD requirements. While ERISA contains an exception to t</w:t>
      </w:r>
      <w:r>
        <w:t xml:space="preserve">he Form 5500 filing requirement for certain small employers, this exception does not apply to SPDs. Small employers that sponsor ERISA-covered group health plans must provide an SPD to employees participating in the plan. </w:t>
      </w:r>
    </w:p>
    <w:p w:rsidR="00A563F6" w:rsidRDefault="000178B1" w:rsidP="00A563F6">
      <w:pPr>
        <w:pStyle w:val="Heading1"/>
      </w:pPr>
      <w:r>
        <w:t>DOES AN SPD NEED TO BE FILED WITH</w:t>
      </w:r>
      <w:r>
        <w:t xml:space="preserve"> THE DOL?</w:t>
      </w:r>
    </w:p>
    <w:p w:rsidR="00A563F6" w:rsidRDefault="000178B1" w:rsidP="00A563F6">
      <w:pPr>
        <w:pStyle w:val="BodyText"/>
      </w:pPr>
      <w:r>
        <w:t xml:space="preserve">No. While ERISA initially required plans with 100 or more participants to file an SPD with the DOL, the Taxpayer Relief Act of 1997 eliminated the automatic filing requirement. However, plans must file an SPD within 30 days of a request from the </w:t>
      </w:r>
      <w:r>
        <w:t>DOL. If the plan administrator fails to provide the SPD within 30 days, the DOL may impose a civil penalty of up to $110 per day for each day the failure continues, up to a maximum penalty of $1,100 per request. Multiple requests for the same or similar do</w:t>
      </w:r>
      <w:r>
        <w:t>cuments are considered separate requests.</w:t>
      </w:r>
    </w:p>
    <w:p w:rsidR="00A563F6" w:rsidRDefault="000178B1" w:rsidP="00A563F6">
      <w:pPr>
        <w:pStyle w:val="Heading1"/>
      </w:pPr>
      <w:r>
        <w:t xml:space="preserve">WHO IS RESPONSIBLE FOR PROVIDING THE SPD? </w:t>
      </w:r>
    </w:p>
    <w:p w:rsidR="00A563F6" w:rsidRDefault="000178B1" w:rsidP="00A563F6">
      <w:pPr>
        <w:pStyle w:val="BodyText"/>
      </w:pPr>
      <w:r>
        <w:t xml:space="preserve">Under ERISA, the plan administrator is legally responsible for making sure the SPD is provided, not the insurer or a third-party administrator (TPA). This is generally </w:t>
      </w:r>
      <w:r>
        <w:t>true even if another company is contractually obligated to help draft the SPD. The plan administrator is the entity designated under the terms of the plan. For single-employer ERISA plans, the plan administrator is the employer that sponsors the plan, unle</w:t>
      </w:r>
      <w:r>
        <w:t>ss the plan document designates a different entity.</w:t>
      </w:r>
    </w:p>
    <w:p w:rsidR="00A563F6" w:rsidRDefault="000178B1" w:rsidP="00A563F6">
      <w:pPr>
        <w:pStyle w:val="BodyText"/>
      </w:pPr>
    </w:p>
    <w:p w:rsidR="00A563F6" w:rsidRDefault="000178B1" w:rsidP="00A563F6">
      <w:pPr>
        <w:pStyle w:val="Heading1"/>
      </w:pPr>
      <w:r>
        <w:lastRenderedPageBreak/>
        <w:t xml:space="preserve">DOES THE CERTIFICATE OR BOOKLET PREPARED BY AN INSURER QUALIFY AS AN SPD? </w:t>
      </w:r>
    </w:p>
    <w:p w:rsidR="00A563F6" w:rsidRDefault="000178B1" w:rsidP="00A563F6">
      <w:pPr>
        <w:pStyle w:val="BodyText"/>
      </w:pPr>
      <w:r>
        <w:rPr>
          <w:noProof/>
        </w:rPr>
        <mc:AlternateContent>
          <mc:Choice Requires="wps">
            <w:drawing>
              <wp:anchor distT="0" distB="0" distL="114300" distR="114300" simplePos="0" relativeHeight="251671552" behindDoc="0" locked="0" layoutInCell="1" allowOverlap="1">
                <wp:simplePos x="0" y="0"/>
                <wp:positionH relativeFrom="margin">
                  <wp:posOffset>3819525</wp:posOffset>
                </wp:positionH>
                <wp:positionV relativeFrom="margin">
                  <wp:posOffset>386080</wp:posOffset>
                </wp:positionV>
                <wp:extent cx="2324100" cy="2057400"/>
                <wp:effectExtent l="19050" t="1905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057400"/>
                        </a:xfrm>
                        <a:prstGeom prst="rect">
                          <a:avLst/>
                        </a:prstGeom>
                        <a:solidFill>
                          <a:srgbClr val="FFFFFF"/>
                        </a:solidFill>
                        <a:ln w="28575">
                          <a:solidFill>
                            <a:srgbClr val="C55A11"/>
                          </a:solidFill>
                          <a:miter lim="800000"/>
                          <a:headEnd/>
                          <a:tailEnd/>
                        </a:ln>
                      </wps:spPr>
                      <wps:txbx>
                        <w:txbxContent>
                          <w:p w:rsidR="00A563F6" w:rsidRPr="00BA6AED" w:rsidRDefault="000178B1" w:rsidP="00A563F6">
                            <w:pPr>
                              <w:pStyle w:val="BodyText"/>
                              <w:spacing w:before="120"/>
                              <w:ind w:right="29"/>
                              <w:jc w:val="center"/>
                              <w:rPr>
                                <w:szCs w:val="22"/>
                              </w:rPr>
                            </w:pPr>
                            <w:r w:rsidRPr="00BA6AED">
                              <w:rPr>
                                <w:b/>
                                <w:szCs w:val="22"/>
                              </w:rPr>
                              <w:t xml:space="preserve">COMPLIANCE TIP: </w:t>
                            </w:r>
                            <w:r>
                              <w:rPr>
                                <w:szCs w:val="22"/>
                              </w:rPr>
                              <w:t xml:space="preserve">Employers with fully insured plans </w:t>
                            </w:r>
                            <w:r w:rsidRPr="00BA6AED">
                              <w:rPr>
                                <w:szCs w:val="22"/>
                              </w:rPr>
                              <w:t>can</w:t>
                            </w:r>
                            <w:r>
                              <w:rPr>
                                <w:szCs w:val="22"/>
                              </w:rPr>
                              <w:t xml:space="preserve"> use </w:t>
                            </w:r>
                            <w:r w:rsidRPr="00BA6AED">
                              <w:rPr>
                                <w:szCs w:val="22"/>
                              </w:rPr>
                              <w:t>a separate document, often called a “</w:t>
                            </w:r>
                            <w:r w:rsidRPr="00BA6AED">
                              <w:rPr>
                                <w:b/>
                                <w:szCs w:val="22"/>
                              </w:rPr>
                              <w:t>wrap document</w:t>
                            </w:r>
                            <w:r w:rsidRPr="00BA6AED">
                              <w:rPr>
                                <w:szCs w:val="22"/>
                              </w:rPr>
                              <w:t xml:space="preserve">” that includes </w:t>
                            </w:r>
                            <w:r w:rsidRPr="00BA6AED">
                              <w:rPr>
                                <w:szCs w:val="22"/>
                              </w:rPr>
                              <w:t>the ERISA-required information that the booklet, prepared by the insurer or TPA, does not include. In this scenario, the wrap document and the booklet, together, make up the plan’s SPD.</w:t>
                            </w:r>
                          </w:p>
                          <w:p w:rsidR="00A563F6" w:rsidRDefault="000178B1" w:rsidP="00A563F6"/>
                        </w:txbxContent>
                      </wps:txbx>
                      <wps:bodyPr rot="0" vert="horz" wrap="square" anchor="t" anchorCtr="0" upright="1"/>
                    </wps:wsp>
                  </a:graphicData>
                </a:graphic>
              </wp:anchor>
            </w:drawing>
          </mc:Choice>
          <mc:Fallback>
            <w:pict>
              <v:shape id="Text Box 20" o:spid="_x0000_s1031" type="#_x0000_t202" style="height:162pt;margin-left:300.75pt;margin-top:30.4pt;mso-height-percent:0;mso-height-relative:margin;mso-position-horizontal-relative:margin;mso-position-vertical-relative:margin;mso-width-percent:0;mso-width-relative:margin;mso-wrap-distance-bottom:0;mso-wrap-distance-left:9pt;mso-wrap-distance-right:9pt;mso-wrap-distance-top:0;mso-wrap-style:square;position:absolute;v-text-anchor:top;visibility:visible;width:183pt;z-index:251672576" strokecolor="#c55a11" strokeweight="2.25pt">
                <v:textbox>
                  <w:txbxContent>
                    <w:p w:rsidR="00A563F6" w:rsidRPr="00BA6AED" w:rsidP="00A563F6">
                      <w:pPr>
                        <w:pStyle w:val="BodyText"/>
                        <w:spacing w:before="120"/>
                        <w:ind w:right="29"/>
                        <w:jc w:val="center"/>
                        <w:rPr>
                          <w:szCs w:val="22"/>
                        </w:rPr>
                      </w:pPr>
                      <w:r w:rsidRPr="00BA6AED">
                        <w:rPr>
                          <w:b/>
                          <w:szCs w:val="22"/>
                        </w:rPr>
                        <w:t xml:space="preserve">COMPLIANCE TIP: </w:t>
                      </w:r>
                      <w:r w:rsidR="00FA2343">
                        <w:rPr>
                          <w:szCs w:val="22"/>
                        </w:rPr>
                        <w:t xml:space="preserve">Employers with fully insured plans </w:t>
                      </w:r>
                      <w:r w:rsidRPr="00BA6AED">
                        <w:rPr>
                          <w:szCs w:val="22"/>
                        </w:rPr>
                        <w:t>can</w:t>
                      </w:r>
                      <w:r w:rsidR="00FA2343">
                        <w:rPr>
                          <w:szCs w:val="22"/>
                        </w:rPr>
                        <w:t xml:space="preserve"> use </w:t>
                      </w:r>
                      <w:r w:rsidRPr="00BA6AED">
                        <w:rPr>
                          <w:szCs w:val="22"/>
                        </w:rPr>
                        <w:t>a separate document, often called a “</w:t>
                      </w:r>
                      <w:r w:rsidRPr="00BA6AED">
                        <w:rPr>
                          <w:b/>
                          <w:szCs w:val="22"/>
                        </w:rPr>
                        <w:t>wrap document</w:t>
                      </w:r>
                      <w:r w:rsidRPr="00BA6AED">
                        <w:rPr>
                          <w:szCs w:val="22"/>
                        </w:rPr>
                        <w:t>” that includes the ERISA-required information that the booklet, prepared by the insurer or TPA, does not include. In this scenario, the wrap document and the booklet, together, make up the plan’s SPD.</w:t>
                      </w:r>
                    </w:p>
                    <w:p w:rsidR="00A563F6" w:rsidP="00A563F6"/>
                  </w:txbxContent>
                </v:textbox>
                <w10:wrap type="square"/>
              </v:shape>
            </w:pict>
          </mc:Fallback>
        </mc:AlternateContent>
      </w:r>
      <w:r>
        <w:t>Some plan sponsors mistakenly believe that providing participants wit</w:t>
      </w:r>
      <w:r>
        <w:t>h the booklet (or certificate) issued by the insurance company fulfills their obligation to provide participants with an SPD. The insurance booklet will often contain detailed information regarding plan benefits and coverage. However, in many cases, the pl</w:t>
      </w:r>
      <w:r>
        <w:t>an sponsor will need to provide additional information that is not contained within the insurance booklet in order to comply with the SPD content requirements.</w:t>
      </w:r>
    </w:p>
    <w:p w:rsidR="00EB2B39" w:rsidRDefault="000178B1" w:rsidP="00EB2B39">
      <w:pPr>
        <w:pStyle w:val="Heading1"/>
      </w:pPr>
      <w:r>
        <w:t>IS IT POSSIBLE TO COMBINE THE PLAN DOCUMENT AND SPD INTO ONE DOCUMENT?</w:t>
      </w:r>
    </w:p>
    <w:p w:rsidR="00EB2B39" w:rsidRDefault="000178B1" w:rsidP="00EB2B39">
      <w:pPr>
        <w:pStyle w:val="BodyText"/>
      </w:pPr>
      <w:r>
        <w:t xml:space="preserve">Many ERISA welfare </w:t>
      </w:r>
      <w:r>
        <w:t>benefit plans only have one document, which serves as the plan document and is also distributed to plan participants as the SPD. When one document is used, it must comply with ERISA’s content requirements for plan documents and SPDs, and it must be written</w:t>
      </w:r>
      <w:r>
        <w:t xml:space="preserve"> in a manner that is understandable to plan participants. Also, the document should prominently state that it is intended to serve as both the plan document and the SPD.</w:t>
      </w:r>
    </w:p>
    <w:p w:rsidR="00EB2B39" w:rsidRDefault="000178B1" w:rsidP="00EB2B39">
      <w:pPr>
        <w:pStyle w:val="BodyText"/>
      </w:pPr>
      <w:r>
        <w:t>For insured plans, the combined plan document/SPD is typically a wrap plan document. T</w:t>
      </w:r>
      <w:r>
        <w:t xml:space="preserve">he wrap plan document addresses the ERISA content requirements that are missing from the insurance certificate and booklet. The wrap plan document and the insurance certificate, together, comprise the plan document/SPD for the plan. Also, when an employer </w:t>
      </w:r>
      <w:r>
        <w:t>decides to bundle two or more welfare benefits under one plan, a “mega” wrap plan document/SPD can be used to describe the benefits.</w:t>
      </w:r>
    </w:p>
    <w:p w:rsidR="00EB2B39" w:rsidRDefault="000178B1" w:rsidP="00EB2B39">
      <w:pPr>
        <w:pStyle w:val="Heading1"/>
      </w:pPr>
      <w:r>
        <w:t xml:space="preserve">WHO MUST BE PROVIDED WITH AN SPD AUTOMATICALLY?  </w:t>
      </w:r>
    </w:p>
    <w:p w:rsidR="00EB2B39" w:rsidRDefault="000178B1" w:rsidP="00EB2B39">
      <w:pPr>
        <w:pStyle w:val="BodyText"/>
      </w:pPr>
      <w:r>
        <w:t>ERISA requires that the SPD be provided automatically to participants und</w:t>
      </w:r>
      <w:r>
        <w:t>er the plan. "Participants" include employees and former employees who are eligible for benefits under the plan. Former employees include, for example, COBRA beneficiaries, retirees and other former employees who may remain eligible under the plan. Plan sp</w:t>
      </w:r>
      <w:r>
        <w:t xml:space="preserve">onsors are NOT required to automatically distribute the SPD to other individuals, such as an employee’s spouse and children who are covered under the plan as dependents or employees who are not participating in the plan. </w:t>
      </w:r>
    </w:p>
    <w:p w:rsidR="00EB2B39" w:rsidRDefault="000178B1" w:rsidP="00EB2B39">
      <w:pPr>
        <w:pStyle w:val="Heading1"/>
      </w:pPr>
      <w:r>
        <w:t>WHO HAS THE RIGHT TO RECEIVE A COP</w:t>
      </w:r>
      <w:r>
        <w:t xml:space="preserve">Y OF THE SPD UPON REQUEST?  </w:t>
      </w:r>
    </w:p>
    <w:p w:rsidR="00EB2B39" w:rsidRDefault="000178B1" w:rsidP="00EB2B39">
      <w:pPr>
        <w:pStyle w:val="BodyText"/>
      </w:pPr>
      <w:r>
        <w:t>In addition to providing the SPD automatically to plan participants, plan administrators must provide copies of the SPD upon written request. Employees and former employees who are participating in the plan have the right to re</w:t>
      </w:r>
      <w:r>
        <w:t>ceive a copy of an SPD upon request, even if the SPD was recently distributed to them. Also, certain individuals who are not entitled to receive the SPD automatically have the right to receive a copy of the SPD upon written request. These individuals inclu</w:t>
      </w:r>
      <w:r>
        <w:t xml:space="preserve">de employees who are eligible for </w:t>
      </w:r>
      <w:r>
        <w:lastRenderedPageBreak/>
        <w:t xml:space="preserve">the plan but not enrolled (for example, employees in a waiting period) and a plan participant’s covered dependents (spouse and children). </w:t>
      </w:r>
    </w:p>
    <w:p w:rsidR="00EB2B39" w:rsidRDefault="000178B1" w:rsidP="00EB2B39">
      <w:pPr>
        <w:pStyle w:val="BodyText"/>
      </w:pPr>
      <w:r>
        <w:t xml:space="preserve">In addition to providing the SPD on request, a plan administrator must make a copy </w:t>
      </w:r>
      <w:r>
        <w:t>of the SPD available for examination by any participant or beneficiary at the “principal office of the administrator and in such other places as may be necessary to make available all pertinent information to all participants.”</w:t>
      </w:r>
    </w:p>
    <w:p w:rsidR="00EB2B39" w:rsidRDefault="000178B1" w:rsidP="00EB2B39">
      <w:pPr>
        <w:pStyle w:val="BodyText"/>
      </w:pPr>
      <w:r>
        <w:t>The plan administrator may i</w:t>
      </w:r>
      <w:r>
        <w:t>mpose a reasonable copying charge for the SPD. This charge may not to exceed 25 cents per page, and it must be less if the actual cost to the plan is less. Other than the copying cost, no other charge for providing the SPD, such as handling or postage char</w:t>
      </w:r>
      <w:r>
        <w:t>ges, is permitted. Also, no charge may be imposed for examining documents at the administrator's principal office or other required locations.</w:t>
      </w:r>
    </w:p>
    <w:p w:rsidR="00EB2B39" w:rsidRDefault="000178B1" w:rsidP="00EB2B39">
      <w:pPr>
        <w:pStyle w:val="Heading1"/>
      </w:pPr>
      <w:r>
        <w:t xml:space="preserve"> WHAT ARE THE DEADLINES FOR PROVIDING AN SPD? </w:t>
      </w:r>
    </w:p>
    <w:p w:rsidR="00EB2B39" w:rsidRDefault="000178B1" w:rsidP="00EB2B39">
      <w:pPr>
        <w:pStyle w:val="BodyText"/>
      </w:pPr>
      <w:r>
        <w:t>Participants must receive an SPD by the following deadlines:</w:t>
      </w:r>
    </w:p>
    <w:tbl>
      <w:tblPr>
        <w:tblW w:w="0" w:type="auto"/>
        <w:jc w:val="center"/>
        <w:tblLook w:val="04A0" w:firstRow="1" w:lastRow="0" w:firstColumn="1" w:lastColumn="0" w:noHBand="0" w:noVBand="1"/>
      </w:tblPr>
      <w:tblGrid>
        <w:gridCol w:w="4319"/>
        <w:gridCol w:w="5041"/>
      </w:tblGrid>
      <w:tr w:rsidR="00251830" w:rsidTr="00EB2B39">
        <w:trPr>
          <w:jc w:val="center"/>
        </w:trPr>
        <w:tc>
          <w:tcPr>
            <w:tcW w:w="4319" w:type="dxa"/>
            <w:shd w:val="clear" w:color="auto" w:fill="82B0CC"/>
          </w:tcPr>
          <w:p w:rsidR="00EB2B39" w:rsidRPr="00EB2B39" w:rsidRDefault="000178B1" w:rsidP="008F756C">
            <w:pPr>
              <w:pStyle w:val="BodyText"/>
              <w:spacing w:before="120"/>
              <w:jc w:val="center"/>
              <w:rPr>
                <w:b/>
                <w:color w:val="FFFFFF"/>
                <w:sz w:val="24"/>
                <w:szCs w:val="24"/>
              </w:rPr>
            </w:pPr>
            <w:r w:rsidRPr="00EB2B39">
              <w:rPr>
                <w:b/>
                <w:color w:val="FFFFFF"/>
                <w:sz w:val="24"/>
                <w:szCs w:val="24"/>
              </w:rPr>
              <w:t>EVENT</w:t>
            </w:r>
          </w:p>
        </w:tc>
        <w:tc>
          <w:tcPr>
            <w:tcW w:w="5041" w:type="dxa"/>
            <w:shd w:val="clear" w:color="auto" w:fill="82B0CC"/>
          </w:tcPr>
          <w:p w:rsidR="00EB2B39" w:rsidRPr="00EB2B39" w:rsidRDefault="000178B1" w:rsidP="008F756C">
            <w:pPr>
              <w:pStyle w:val="BodyText"/>
              <w:spacing w:before="120"/>
              <w:jc w:val="center"/>
              <w:rPr>
                <w:b/>
                <w:color w:val="FFFFFF"/>
                <w:sz w:val="24"/>
                <w:szCs w:val="24"/>
              </w:rPr>
            </w:pPr>
            <w:r w:rsidRPr="00EB2B39">
              <w:rPr>
                <w:b/>
                <w:color w:val="FFFFFF"/>
                <w:sz w:val="24"/>
                <w:szCs w:val="24"/>
              </w:rPr>
              <w:t>DEADLINE</w:t>
            </w:r>
          </w:p>
        </w:tc>
      </w:tr>
      <w:tr w:rsidR="00251830" w:rsidTr="00FA2343">
        <w:trPr>
          <w:jc w:val="center"/>
        </w:trPr>
        <w:tc>
          <w:tcPr>
            <w:tcW w:w="4319" w:type="dxa"/>
            <w:shd w:val="clear" w:color="auto" w:fill="F9F9F9"/>
            <w:vAlign w:val="center"/>
          </w:tcPr>
          <w:p w:rsidR="00EB2B39" w:rsidRPr="00FA2343" w:rsidRDefault="000178B1" w:rsidP="00FA2343">
            <w:pPr>
              <w:pStyle w:val="BodyText"/>
              <w:jc w:val="center"/>
            </w:pPr>
            <w:r w:rsidRPr="00FA2343">
              <w:t>Plan becomes subject to ERISA (for example, a new group health plan)</w:t>
            </w:r>
          </w:p>
        </w:tc>
        <w:tc>
          <w:tcPr>
            <w:tcW w:w="5041" w:type="dxa"/>
            <w:shd w:val="clear" w:color="auto" w:fill="F9F9F9"/>
            <w:vAlign w:val="center"/>
          </w:tcPr>
          <w:p w:rsidR="00EB2B39" w:rsidRPr="00FA2343" w:rsidRDefault="000178B1" w:rsidP="00FA2343">
            <w:pPr>
              <w:pStyle w:val="BodyText"/>
              <w:jc w:val="center"/>
            </w:pPr>
            <w:r w:rsidRPr="00FA2343">
              <w:t>Within 120 days after plan becomes subject to ERISA</w:t>
            </w:r>
          </w:p>
        </w:tc>
      </w:tr>
      <w:tr w:rsidR="00251830" w:rsidTr="00FA2343">
        <w:trPr>
          <w:jc w:val="center"/>
        </w:trPr>
        <w:tc>
          <w:tcPr>
            <w:tcW w:w="4319" w:type="dxa"/>
            <w:shd w:val="clear" w:color="auto" w:fill="ECECEC"/>
            <w:vAlign w:val="center"/>
          </w:tcPr>
          <w:p w:rsidR="00EB2B39" w:rsidRPr="00FA2343" w:rsidRDefault="000178B1" w:rsidP="00FA2343">
            <w:pPr>
              <w:pStyle w:val="BodyText"/>
              <w:jc w:val="center"/>
            </w:pPr>
            <w:r w:rsidRPr="00FA2343">
              <w:t>Employee becomes covered by the plan</w:t>
            </w:r>
          </w:p>
        </w:tc>
        <w:tc>
          <w:tcPr>
            <w:tcW w:w="5041" w:type="dxa"/>
            <w:shd w:val="clear" w:color="auto" w:fill="ECECEC"/>
            <w:vAlign w:val="center"/>
          </w:tcPr>
          <w:p w:rsidR="00EB2B39" w:rsidRPr="00FA2343" w:rsidRDefault="000178B1" w:rsidP="00FA2343">
            <w:pPr>
              <w:pStyle w:val="BodyText"/>
              <w:jc w:val="center"/>
            </w:pPr>
            <w:r w:rsidRPr="00FA2343">
              <w:t>Within 90 days of enrollment</w:t>
            </w:r>
          </w:p>
        </w:tc>
      </w:tr>
      <w:tr w:rsidR="00251830" w:rsidTr="00FA2343">
        <w:trPr>
          <w:jc w:val="center"/>
        </w:trPr>
        <w:tc>
          <w:tcPr>
            <w:tcW w:w="4319" w:type="dxa"/>
            <w:shd w:val="clear" w:color="auto" w:fill="D9D9D9" w:themeFill="background1" w:themeFillShade="D9"/>
            <w:vAlign w:val="center"/>
          </w:tcPr>
          <w:p w:rsidR="00EB2B39" w:rsidRPr="00FA2343" w:rsidRDefault="000178B1" w:rsidP="00FA2343">
            <w:pPr>
              <w:pStyle w:val="BodyText"/>
              <w:jc w:val="center"/>
            </w:pPr>
            <w:r w:rsidRPr="00FA2343">
              <w:t>Participant’s written request</w:t>
            </w:r>
          </w:p>
        </w:tc>
        <w:tc>
          <w:tcPr>
            <w:tcW w:w="5041" w:type="dxa"/>
            <w:shd w:val="clear" w:color="auto" w:fill="D9D9D9" w:themeFill="background1" w:themeFillShade="D9"/>
            <w:vAlign w:val="center"/>
          </w:tcPr>
          <w:p w:rsidR="00EB2B39" w:rsidRPr="00FA2343" w:rsidRDefault="000178B1" w:rsidP="00FA2343">
            <w:pPr>
              <w:pStyle w:val="BodyText"/>
              <w:jc w:val="center"/>
            </w:pPr>
            <w:r w:rsidRPr="00FA2343">
              <w:t xml:space="preserve">Within 30 days of </w:t>
            </w:r>
            <w:r w:rsidRPr="00FA2343">
              <w:t>participant’s request</w:t>
            </w:r>
          </w:p>
        </w:tc>
      </w:tr>
    </w:tbl>
    <w:p w:rsidR="00EB2B39" w:rsidRDefault="000178B1" w:rsidP="00EB2B39">
      <w:pPr>
        <w:pStyle w:val="Heading1"/>
      </w:pPr>
      <w:r>
        <w:t xml:space="preserve">HOW OFTEN DOES THE SPD NEED TO BE UPDATED? </w:t>
      </w:r>
    </w:p>
    <w:p w:rsidR="00EB2B39" w:rsidRDefault="000178B1" w:rsidP="00EB2B39">
      <w:pPr>
        <w:pStyle w:val="BodyText"/>
      </w:pPr>
      <w:r>
        <w:t>ERISA does not require plan administrators to provide a new SPD booklet every year. An updated SPD must be provided every five years if material modifications are made to the SPD’s informat</w:t>
      </w:r>
      <w:r>
        <w:t xml:space="preserve">ion during that time period. If no changes are made, then an updated SPD must be provided every 10 years. </w:t>
      </w:r>
    </w:p>
    <w:p w:rsidR="00EB2B39" w:rsidRDefault="000178B1" w:rsidP="00EB2B39">
      <w:pPr>
        <w:pStyle w:val="BodyText"/>
      </w:pPr>
      <w:r>
        <w:t>It is typical for plan design changes to be made each year, particularly for group health plans. Any material changes to plan design or operation mus</w:t>
      </w:r>
      <w:r>
        <w:t xml:space="preserve">t be communicated to participants. Since ERISA does not require a plan’s SPD to be updated each year, these changes do not need to be communicated through an updated SPD booklet. Instead, they can be communicated through a summary of material modification </w:t>
      </w:r>
      <w:r>
        <w:t xml:space="preserve">(or SMM). However, when the plan changes are significant, an employer may decide that it is best to update the SPD booklet, rather than use an SMM, to communicate those changes to participants.  </w:t>
      </w:r>
    </w:p>
    <w:p w:rsidR="00FA2343" w:rsidRDefault="000178B1" w:rsidP="00FA2343">
      <w:pPr>
        <w:pStyle w:val="BodyText"/>
      </w:pPr>
    </w:p>
    <w:p w:rsidR="00FA2343" w:rsidRDefault="000178B1" w:rsidP="00FA2343">
      <w:pPr>
        <w:pStyle w:val="BodyText"/>
      </w:pPr>
    </w:p>
    <w:p w:rsidR="00EB2B39" w:rsidRDefault="000178B1" w:rsidP="00EB2B39">
      <w:pPr>
        <w:pStyle w:val="Heading1"/>
      </w:pPr>
      <w:r>
        <w:lastRenderedPageBreak/>
        <w:t>WHEN MUST SPD CHANGES BE COMMUNICATED TO PLAN PARTICIPANTS</w:t>
      </w:r>
      <w:r>
        <w:t>?</w:t>
      </w:r>
    </w:p>
    <w:p w:rsidR="00EB2B39" w:rsidRDefault="000178B1" w:rsidP="00FA2343">
      <w:pPr>
        <w:pStyle w:val="BodyText"/>
      </w:pPr>
      <w:r>
        <w:t>An SMM (or an updated SPD booklet) must be provided within 210 days after the close of the plan year in which the change was adopted. If benefits or services are materially reduced, participants must be provided notice:</w:t>
      </w:r>
    </w:p>
    <w:p w:rsidR="00EB2B39" w:rsidRDefault="000178B1" w:rsidP="00FA2343">
      <w:pPr>
        <w:pStyle w:val="BulletList"/>
        <w:spacing w:before="240"/>
      </w:pPr>
      <w:r>
        <w:t>Within 60 days from adoption; or</w:t>
      </w:r>
    </w:p>
    <w:p w:rsidR="00EB2B39" w:rsidRDefault="000178B1" w:rsidP="00FA2343">
      <w:pPr>
        <w:pStyle w:val="BulletList"/>
        <w:spacing w:before="240"/>
      </w:pPr>
      <w:r>
        <w:t>W</w:t>
      </w:r>
      <w:r>
        <w:t>ithin 90 days from adoption, if participants receive such information from the plan administrator at regular intervals of not more than 90 days.</w:t>
      </w:r>
    </w:p>
    <w:p w:rsidR="00EB2B39" w:rsidRDefault="000178B1" w:rsidP="00EB2B39">
      <w:pPr>
        <w:pStyle w:val="BodyText"/>
      </w:pPr>
      <w:r>
        <w:t>In addition to the SPD, the Affordable Care Act (ACA) requires plan administrators and issuers to provide parti</w:t>
      </w:r>
      <w:r>
        <w:t xml:space="preserve">cipants with a summary of benefits and coverage (SBC). As a related requirement, under the ACA, plan administrators and issuers must provide 60 days’ advance notice of any material modification to plan terms or coverage that takes effect mid-plan year and </w:t>
      </w:r>
      <w:r>
        <w:t>impacts the content of the SBC. The 60-day notice can be provided to participants through an updated SBC or by issuing an SMM.</w:t>
      </w:r>
    </w:p>
    <w:p w:rsidR="00EB2B39" w:rsidRDefault="000178B1" w:rsidP="00EB2B39">
      <w:pPr>
        <w:pStyle w:val="BodyText"/>
      </w:pPr>
      <w:r>
        <w:t>A “material modification” is any change to a plan’s coverage that (independently or in connection with other changes taking place</w:t>
      </w:r>
      <w:r>
        <w:t xml:space="preserve"> at the same time) would be considered by the average plan participant to be an important change in covered benefits or other terms of coverage.</w:t>
      </w:r>
    </w:p>
    <w:p w:rsidR="00EB2B39" w:rsidRDefault="000178B1" w:rsidP="00EB2B39">
      <w:pPr>
        <w:pStyle w:val="Heading1"/>
      </w:pPr>
      <w:r>
        <w:t xml:space="preserve">HOW CAN thE SPD BE DISTRIBUTED? </w:t>
      </w:r>
    </w:p>
    <w:p w:rsidR="00EB2B39" w:rsidRDefault="000178B1" w:rsidP="00EB2B39">
      <w:pPr>
        <w:pStyle w:val="BodyText"/>
      </w:pPr>
      <w:r>
        <w:t>The plan administrator is required to provide the SPD to participants in a man</w:t>
      </w:r>
      <w:r>
        <w:t>ner reasonably calculated to ensure actual receipt of the material by the participant. The following are examples of acceptable methods of delivery:</w:t>
      </w:r>
    </w:p>
    <w:p w:rsidR="00EB2B39" w:rsidRDefault="000178B1" w:rsidP="00FA2343">
      <w:pPr>
        <w:pStyle w:val="BulletList"/>
        <w:spacing w:before="240"/>
      </w:pPr>
      <w:r>
        <w:t>Hand delivery to employees at their worksite (merely posting information in a common area is not acceptable</w:t>
      </w:r>
      <w:r>
        <w:t>);</w:t>
      </w:r>
    </w:p>
    <w:p w:rsidR="00EB2B39" w:rsidRDefault="000178B1" w:rsidP="00FA2343">
      <w:pPr>
        <w:pStyle w:val="BulletList"/>
        <w:spacing w:before="240"/>
      </w:pPr>
      <w:r>
        <w:t>Included within a periodical distributed to employees (for example, a union newsletter or company publication);</w:t>
      </w:r>
    </w:p>
    <w:p w:rsidR="00EB2B39" w:rsidRDefault="000178B1" w:rsidP="00FA2343">
      <w:pPr>
        <w:pStyle w:val="BulletList"/>
        <w:spacing w:before="240"/>
      </w:pPr>
      <w:r>
        <w:t>U.S. mail; or</w:t>
      </w:r>
    </w:p>
    <w:p w:rsidR="00EB2B39" w:rsidRDefault="000178B1" w:rsidP="00FA2343">
      <w:pPr>
        <w:pStyle w:val="BulletList"/>
        <w:spacing w:before="240"/>
      </w:pPr>
      <w:r>
        <w:t>Electronic media (DOL regulations include a safe harbor provision applicable to electronic delivery of SPDs).</w:t>
      </w:r>
    </w:p>
    <w:p w:rsidR="00EB2B39" w:rsidRDefault="000178B1" w:rsidP="00EB2B39">
      <w:pPr>
        <w:pStyle w:val="Heading1"/>
      </w:pPr>
      <w:r>
        <w:t xml:space="preserve">MAY THE SPD BE DELIVERED ELECTRONICALLY TO ALL EMPLOYEES? </w:t>
      </w:r>
    </w:p>
    <w:p w:rsidR="00EB2B39" w:rsidRDefault="000178B1" w:rsidP="00EB2B39">
      <w:pPr>
        <w:pStyle w:val="BodyText"/>
      </w:pPr>
      <w:r>
        <w:t>The DOL’s safe harbor contains guidelines for providing disclosures to the following two groups of plan participants:</w:t>
      </w:r>
    </w:p>
    <w:p w:rsidR="00EB2B39" w:rsidRDefault="000178B1" w:rsidP="00FA2343">
      <w:pPr>
        <w:pStyle w:val="BulletList"/>
        <w:spacing w:before="240"/>
      </w:pPr>
      <w:r>
        <w:t>Employees with work-related computer access; and</w:t>
      </w:r>
    </w:p>
    <w:p w:rsidR="00EB2B39" w:rsidRDefault="000178B1" w:rsidP="00FA2343">
      <w:pPr>
        <w:pStyle w:val="BulletList"/>
        <w:spacing w:before="240"/>
      </w:pPr>
      <w:r>
        <w:lastRenderedPageBreak/>
        <w:t xml:space="preserve">Other plan participants and </w:t>
      </w:r>
      <w:r>
        <w:t>beneficiaries who consent to receive disclosures electronically.</w:t>
      </w:r>
    </w:p>
    <w:p w:rsidR="00EB2B39" w:rsidRDefault="000178B1" w:rsidP="00EB2B39">
      <w:pPr>
        <w:pStyle w:val="Heading2"/>
      </w:pPr>
      <w:r>
        <w:t>Employees with Work-related Computer Access</w:t>
      </w:r>
    </w:p>
    <w:p w:rsidR="00EB2B39" w:rsidRDefault="000178B1" w:rsidP="00EB2B39">
      <w:pPr>
        <w:pStyle w:val="BodyText"/>
      </w:pPr>
      <w:r>
        <w:t>ERISA disclosures may be delivered electronically to employees who:</w:t>
      </w:r>
    </w:p>
    <w:p w:rsidR="00EB2B39" w:rsidRDefault="000178B1" w:rsidP="00FA2343">
      <w:pPr>
        <w:pStyle w:val="BulletList"/>
        <w:spacing w:before="240"/>
      </w:pPr>
      <w:r>
        <w:t>Have the ability to effectively access documents furnished in electronic form a</w:t>
      </w:r>
      <w:r>
        <w:t xml:space="preserve">t any location where the employees are reasonably expected to perform their duties; and </w:t>
      </w:r>
    </w:p>
    <w:p w:rsidR="00EB2B39" w:rsidRDefault="000178B1" w:rsidP="00FA2343">
      <w:pPr>
        <w:pStyle w:val="BulletList"/>
        <w:spacing w:before="240"/>
      </w:pPr>
      <w:r>
        <w:t>Are expected to have access to the employer's electronic information system as an integral part of those duties.</w:t>
      </w:r>
    </w:p>
    <w:p w:rsidR="00EB2B39" w:rsidRDefault="000178B1" w:rsidP="00EB2B39">
      <w:pPr>
        <w:pStyle w:val="BodyText"/>
      </w:pPr>
      <w:r>
        <w:t>Merely providing employees with access to a computer i</w:t>
      </w:r>
      <w:r>
        <w:t>n a common area (for example, a computer kiosk) is not a permissible means to electronically furnish ERISA-required documents.</w:t>
      </w:r>
    </w:p>
    <w:p w:rsidR="00EB2B39" w:rsidRDefault="000178B1" w:rsidP="00EB2B39">
      <w:pPr>
        <w:pStyle w:val="Heading2"/>
      </w:pPr>
      <w:r>
        <w:t>Participants Who Consent To Receive Disclosures Electronically</w:t>
      </w:r>
    </w:p>
    <w:p w:rsidR="00EB2B39" w:rsidRDefault="000178B1" w:rsidP="00EB2B39">
      <w:pPr>
        <w:pStyle w:val="BodyText"/>
      </w:pPr>
      <w:r>
        <w:t>A plan administrator must obtain written consent prior to electron</w:t>
      </w:r>
      <w:r>
        <w:t>ically delivering ERISA disclosures to plan participants who do not have work-related access to a computer. The consent may be received in either electronic or paper form. Prior to consenting, an individual must be given a clear and conspicuous statement t</w:t>
      </w:r>
      <w:r>
        <w:t>hat explains:</w:t>
      </w:r>
    </w:p>
    <w:p w:rsidR="00EB2B39" w:rsidRDefault="000178B1" w:rsidP="00FA2343">
      <w:pPr>
        <w:pStyle w:val="BulletList"/>
        <w:spacing w:before="240"/>
      </w:pPr>
      <w:r>
        <w:t>The types of documents to which the consent will apply;</w:t>
      </w:r>
    </w:p>
    <w:p w:rsidR="00EB2B39" w:rsidRDefault="000178B1" w:rsidP="00FA2343">
      <w:pPr>
        <w:pStyle w:val="BulletList"/>
        <w:spacing w:before="240"/>
      </w:pPr>
      <w:r>
        <w:t>That consent can be withdrawn at any time without charge;</w:t>
      </w:r>
    </w:p>
    <w:p w:rsidR="00EB2B39" w:rsidRDefault="000178B1" w:rsidP="00FA2343">
      <w:pPr>
        <w:pStyle w:val="BulletList"/>
        <w:spacing w:before="240"/>
      </w:pPr>
      <w:r>
        <w:t>The procedures for withdrawing consent and for updating the address used for receipt of electronically furnished documents;</w:t>
      </w:r>
    </w:p>
    <w:p w:rsidR="00EB2B39" w:rsidRDefault="000178B1" w:rsidP="00FA2343">
      <w:pPr>
        <w:pStyle w:val="BulletList"/>
        <w:spacing w:before="240"/>
      </w:pPr>
      <w:r>
        <w:t xml:space="preserve">The </w:t>
      </w:r>
      <w:r>
        <w:t>right to request and obtain a paper version of an electronically furnished document, including whether the paper version will be provided free of charge; and</w:t>
      </w:r>
    </w:p>
    <w:p w:rsidR="00EB2B39" w:rsidRDefault="000178B1" w:rsidP="00FA2343">
      <w:pPr>
        <w:pStyle w:val="BulletList"/>
        <w:spacing w:before="240"/>
      </w:pPr>
      <w:r>
        <w:t>Hardware or software needed to access and retain the documents delivered electronically.</w:t>
      </w:r>
    </w:p>
    <w:p w:rsidR="00EB2B39" w:rsidRDefault="000178B1" w:rsidP="00EB2B39">
      <w:pPr>
        <w:pStyle w:val="BodyText"/>
      </w:pPr>
      <w:r>
        <w:t>Where the</w:t>
      </w:r>
      <w:r>
        <w:t xml:space="preserve"> electronic distribution is made through the Internet, the individual must affirmatively consent in a manner that reasonably demonstrates his or her ability to access information in the electronic form that would be used. If the plan administrator changes </w:t>
      </w:r>
      <w:r>
        <w:t xml:space="preserve">its hardware or software requirements, it must provide a new notice and obtain consent again. </w:t>
      </w:r>
    </w:p>
    <w:p w:rsidR="00EB2B39" w:rsidRDefault="000178B1" w:rsidP="00EB2B39">
      <w:pPr>
        <w:pStyle w:val="Heading1"/>
      </w:pPr>
      <w:r>
        <w:t xml:space="preserve">WHAT REQUIREMENTS APPLY TO ALL ELECTRONIC DISCLOSURES? </w:t>
      </w:r>
    </w:p>
    <w:p w:rsidR="00EB2B39" w:rsidRDefault="000178B1" w:rsidP="00EB2B39">
      <w:pPr>
        <w:pStyle w:val="BodyText"/>
      </w:pPr>
      <w:r>
        <w:t>Plan administrators are required to use measures reasonably calculated to ensure actual receipt of the ma</w:t>
      </w:r>
      <w:r>
        <w:t>terial by plan participants and beneficiaries. The DOL’s rules provide some guidance on what measures are reasonably calculated to ensure actual receipt when electronic delivery is used.</w:t>
      </w:r>
    </w:p>
    <w:p w:rsidR="00EB2B39" w:rsidRDefault="000178B1" w:rsidP="00EB2B39">
      <w:pPr>
        <w:pStyle w:val="Heading2"/>
      </w:pPr>
      <w:r>
        <w:lastRenderedPageBreak/>
        <w:t>Notices</w:t>
      </w:r>
    </w:p>
    <w:p w:rsidR="00EB2B39" w:rsidRDefault="000178B1" w:rsidP="00EB2B39">
      <w:pPr>
        <w:pStyle w:val="BodyText"/>
      </w:pPr>
      <w:r>
        <w:t xml:space="preserve">A notice must be sent either electronically or in paper form </w:t>
      </w:r>
      <w:r>
        <w:t>to each plan participant or beneficiary at the time the document is provided electronically. The notice must indicate the significance of the document (when it is not otherwise reasonably evident) and explain the participant's right to request a paper copy</w:t>
      </w:r>
      <w:r>
        <w:t>.</w:t>
      </w:r>
    </w:p>
    <w:p w:rsidR="00EB2B39" w:rsidRDefault="000178B1" w:rsidP="00EB2B39">
      <w:pPr>
        <w:pStyle w:val="Heading2"/>
      </w:pPr>
      <w:r>
        <w:t>Confirmation of Receipt</w:t>
      </w:r>
    </w:p>
    <w:p w:rsidR="00EB2B39" w:rsidRDefault="000178B1" w:rsidP="00EB2B39">
      <w:pPr>
        <w:pStyle w:val="BodyText"/>
      </w:pPr>
      <w:r>
        <w:t>The plan administrator must make use of electronic mail features such as return-receipt or notice that the email was not delivered. The plan must also conduct periodic reviews to confirm receipt of the transmitted information.</w:t>
      </w:r>
    </w:p>
    <w:p w:rsidR="00EB2B39" w:rsidRDefault="000178B1" w:rsidP="00EB2B39">
      <w:pPr>
        <w:pStyle w:val="Heading2"/>
      </w:pPr>
      <w:r>
        <w:t>Sty</w:t>
      </w:r>
      <w:r>
        <w:t>le, Format and Content Requirements</w:t>
      </w:r>
    </w:p>
    <w:p w:rsidR="00EB2B39" w:rsidRDefault="000178B1" w:rsidP="00EB2B39">
      <w:pPr>
        <w:pStyle w:val="BodyText"/>
      </w:pPr>
      <w:r>
        <w:t>Documents delivered electronically must continue to be furnished in a manner consistent with the applicable style, format and content requirements contained within ERISA. For example, SPDs provided electronically must co</w:t>
      </w:r>
      <w:r>
        <w:t>ntain all the disclosures otherwise required by ERISA's disclosure requirements. The DOL has indicated that the appearance of paper and electronic versions need not be identical.</w:t>
      </w:r>
    </w:p>
    <w:p w:rsidR="00EB2B39" w:rsidRDefault="000178B1" w:rsidP="00EB2B39">
      <w:pPr>
        <w:pStyle w:val="Heading2"/>
      </w:pPr>
      <w:r>
        <w:t>Paper Copy</w:t>
      </w:r>
    </w:p>
    <w:p w:rsidR="00EB2B39" w:rsidRDefault="000178B1" w:rsidP="00EB2B39">
      <w:pPr>
        <w:pStyle w:val="BodyText"/>
      </w:pPr>
      <w:r>
        <w:t xml:space="preserve">Plan participants and beneficiaries are entitled to receive a paper copy of any ERISA disclosure provided electronically. Where a plan participant or beneficiary requests a paper copy of a document originally provided electronically, the general rules for </w:t>
      </w:r>
      <w:r>
        <w:t xml:space="preserve">charging for paper copies apply. </w:t>
      </w:r>
    </w:p>
    <w:p w:rsidR="00EB2B39" w:rsidRDefault="000178B1" w:rsidP="00EB2B39">
      <w:pPr>
        <w:pStyle w:val="Heading1"/>
      </w:pPr>
      <w:r>
        <w:t xml:space="preserve">DOES ERISA REQUIRE EMPLOYERS TO TRANSLATE THE SPD INTO ANOTHER LANGUAGE? </w:t>
      </w:r>
    </w:p>
    <w:p w:rsidR="00EB2B39" w:rsidRDefault="000178B1" w:rsidP="00EB2B39">
      <w:pPr>
        <w:pStyle w:val="BodyText"/>
      </w:pPr>
      <w:r>
        <w:t>No. While ERISA does not require that an SPD be provided in a non-English language, in some cases the SPD must include a prominently displayed notic</w:t>
      </w:r>
      <w:r>
        <w:t>e that assistance in a non-English language common to the plan participants is available. Sample language is provided within the attached SPD Checklist.</w:t>
      </w:r>
    </w:p>
    <w:p w:rsidR="00EB2B39" w:rsidRDefault="000178B1" w:rsidP="00EB2B39">
      <w:pPr>
        <w:pStyle w:val="BodyText"/>
      </w:pPr>
      <w:r>
        <w:t>A plan is required to include this notice in the following cases:</w:t>
      </w:r>
    </w:p>
    <w:tbl>
      <w:tblPr>
        <w:tblW w:w="0" w:type="auto"/>
        <w:tblInd w:w="6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ook w:val="04A0" w:firstRow="1" w:lastRow="0" w:firstColumn="1" w:lastColumn="0" w:noHBand="0" w:noVBand="1"/>
      </w:tblPr>
      <w:tblGrid>
        <w:gridCol w:w="4315"/>
        <w:gridCol w:w="4932"/>
      </w:tblGrid>
      <w:tr w:rsidR="00251830" w:rsidTr="00B0295C">
        <w:tc>
          <w:tcPr>
            <w:tcW w:w="5040" w:type="dxa"/>
            <w:shd w:val="clear" w:color="auto" w:fill="82B0CC"/>
            <w:vAlign w:val="center"/>
          </w:tcPr>
          <w:p w:rsidR="00B0295C" w:rsidRPr="00B0295C" w:rsidRDefault="000178B1" w:rsidP="008F756C">
            <w:pPr>
              <w:spacing w:before="60" w:after="60"/>
              <w:jc w:val="center"/>
              <w:rPr>
                <w:b/>
                <w:color w:val="FFFFFF" w:themeColor="background1"/>
                <w:sz w:val="22"/>
              </w:rPr>
            </w:pPr>
            <w:r w:rsidRPr="00B0295C">
              <w:rPr>
                <w:b/>
                <w:color w:val="FFFFFF" w:themeColor="background1"/>
                <w:sz w:val="22"/>
              </w:rPr>
              <w:t>Plan Size*</w:t>
            </w:r>
          </w:p>
          <w:p w:rsidR="00B0295C" w:rsidRPr="00B0295C" w:rsidRDefault="000178B1" w:rsidP="008F756C">
            <w:pPr>
              <w:spacing w:before="60" w:after="60"/>
              <w:jc w:val="center"/>
              <w:rPr>
                <w:b/>
                <w:color w:val="FFFFFF" w:themeColor="background1"/>
                <w:sz w:val="22"/>
              </w:rPr>
            </w:pPr>
            <w:r w:rsidRPr="00B0295C">
              <w:rPr>
                <w:b/>
                <w:color w:val="FFFFFF" w:themeColor="background1"/>
                <w:sz w:val="22"/>
              </w:rPr>
              <w:t>(number of plan participan</w:t>
            </w:r>
            <w:r w:rsidRPr="00B0295C">
              <w:rPr>
                <w:b/>
                <w:color w:val="FFFFFF" w:themeColor="background1"/>
                <w:sz w:val="22"/>
              </w:rPr>
              <w:t>ts)</w:t>
            </w:r>
          </w:p>
        </w:tc>
        <w:tc>
          <w:tcPr>
            <w:tcW w:w="5441" w:type="dxa"/>
            <w:shd w:val="clear" w:color="auto" w:fill="82B0CC"/>
            <w:vAlign w:val="center"/>
          </w:tcPr>
          <w:p w:rsidR="00B0295C" w:rsidRPr="00B0295C" w:rsidRDefault="000178B1" w:rsidP="008F756C">
            <w:pPr>
              <w:spacing w:before="60" w:after="60"/>
              <w:jc w:val="center"/>
              <w:rPr>
                <w:b/>
                <w:color w:val="FFFFFF" w:themeColor="background1"/>
                <w:sz w:val="22"/>
              </w:rPr>
            </w:pPr>
            <w:r w:rsidRPr="00B0295C">
              <w:rPr>
                <w:b/>
                <w:color w:val="FFFFFF" w:themeColor="background1"/>
                <w:sz w:val="22"/>
              </w:rPr>
              <w:t>Number of Participants who are literate only in the same non-English language</w:t>
            </w:r>
          </w:p>
        </w:tc>
      </w:tr>
      <w:tr w:rsidR="00251830" w:rsidTr="00B0295C">
        <w:tc>
          <w:tcPr>
            <w:tcW w:w="5040" w:type="dxa"/>
            <w:shd w:val="clear" w:color="auto" w:fill="F2F2F2" w:themeFill="background1" w:themeFillShade="F2"/>
            <w:vAlign w:val="center"/>
          </w:tcPr>
          <w:p w:rsidR="00B0295C" w:rsidRPr="00B0295C" w:rsidRDefault="000178B1" w:rsidP="008F756C">
            <w:pPr>
              <w:spacing w:before="60" w:after="60"/>
              <w:jc w:val="center"/>
              <w:rPr>
                <w:sz w:val="22"/>
              </w:rPr>
            </w:pPr>
            <w:r w:rsidRPr="00B0295C">
              <w:rPr>
                <w:sz w:val="22"/>
              </w:rPr>
              <w:t>Less than 100</w:t>
            </w:r>
          </w:p>
        </w:tc>
        <w:tc>
          <w:tcPr>
            <w:tcW w:w="5441" w:type="dxa"/>
            <w:shd w:val="clear" w:color="auto" w:fill="F2F2F2" w:themeFill="background1" w:themeFillShade="F2"/>
            <w:vAlign w:val="center"/>
          </w:tcPr>
          <w:p w:rsidR="00B0295C" w:rsidRPr="00B0295C" w:rsidRDefault="000178B1" w:rsidP="008F756C">
            <w:pPr>
              <w:spacing w:before="60" w:after="60"/>
              <w:jc w:val="center"/>
              <w:rPr>
                <w:sz w:val="22"/>
              </w:rPr>
            </w:pPr>
            <w:r w:rsidRPr="00B0295C">
              <w:rPr>
                <w:sz w:val="22"/>
              </w:rPr>
              <w:t>25% or more</w:t>
            </w:r>
          </w:p>
        </w:tc>
      </w:tr>
      <w:tr w:rsidR="00251830" w:rsidTr="00B0295C">
        <w:tc>
          <w:tcPr>
            <w:tcW w:w="5040" w:type="dxa"/>
            <w:shd w:val="clear" w:color="auto" w:fill="F2F2F2" w:themeFill="background1" w:themeFillShade="F2"/>
            <w:vAlign w:val="center"/>
          </w:tcPr>
          <w:p w:rsidR="00B0295C" w:rsidRPr="00B0295C" w:rsidRDefault="000178B1" w:rsidP="008F756C">
            <w:pPr>
              <w:spacing w:before="60" w:after="60"/>
              <w:jc w:val="center"/>
              <w:rPr>
                <w:sz w:val="22"/>
              </w:rPr>
            </w:pPr>
            <w:r w:rsidRPr="00B0295C">
              <w:rPr>
                <w:sz w:val="22"/>
              </w:rPr>
              <w:t>Greater than 100</w:t>
            </w:r>
          </w:p>
        </w:tc>
        <w:tc>
          <w:tcPr>
            <w:tcW w:w="5441" w:type="dxa"/>
            <w:shd w:val="clear" w:color="auto" w:fill="F2F2F2" w:themeFill="background1" w:themeFillShade="F2"/>
            <w:vAlign w:val="center"/>
          </w:tcPr>
          <w:p w:rsidR="00B0295C" w:rsidRPr="00B0295C" w:rsidRDefault="000178B1" w:rsidP="008F756C">
            <w:pPr>
              <w:spacing w:before="60" w:after="60"/>
              <w:ind w:left="2093"/>
              <w:rPr>
                <w:sz w:val="22"/>
              </w:rPr>
            </w:pPr>
            <w:r w:rsidRPr="00B0295C">
              <w:rPr>
                <w:sz w:val="22"/>
              </w:rPr>
              <w:t>Lesser of:</w:t>
            </w:r>
          </w:p>
          <w:p w:rsidR="00B0295C" w:rsidRPr="00B0295C" w:rsidRDefault="000178B1" w:rsidP="00B0295C">
            <w:pPr>
              <w:pStyle w:val="ListParagraph"/>
              <w:numPr>
                <w:ilvl w:val="0"/>
                <w:numId w:val="23"/>
              </w:numPr>
              <w:spacing w:before="60" w:after="60" w:line="240" w:lineRule="auto"/>
              <w:ind w:left="2093"/>
              <w:contextualSpacing w:val="0"/>
              <w:rPr>
                <w:sz w:val="22"/>
              </w:rPr>
            </w:pPr>
            <w:r w:rsidRPr="00B0295C">
              <w:rPr>
                <w:sz w:val="22"/>
              </w:rPr>
              <w:t>500 or more; or</w:t>
            </w:r>
          </w:p>
          <w:p w:rsidR="00B0295C" w:rsidRPr="00B0295C" w:rsidRDefault="000178B1" w:rsidP="00B0295C">
            <w:pPr>
              <w:pStyle w:val="ListParagraph"/>
              <w:numPr>
                <w:ilvl w:val="0"/>
                <w:numId w:val="23"/>
              </w:numPr>
              <w:spacing w:before="60" w:after="60" w:line="240" w:lineRule="auto"/>
              <w:ind w:left="2093"/>
              <w:contextualSpacing w:val="0"/>
              <w:rPr>
                <w:sz w:val="22"/>
              </w:rPr>
            </w:pPr>
            <w:r w:rsidRPr="00B0295C">
              <w:rPr>
                <w:sz w:val="22"/>
              </w:rPr>
              <w:t>10% or more.</w:t>
            </w:r>
          </w:p>
        </w:tc>
      </w:tr>
    </w:tbl>
    <w:p w:rsidR="00EB2B39" w:rsidRPr="00FA2343" w:rsidRDefault="000178B1" w:rsidP="00EB2B39">
      <w:pPr>
        <w:pStyle w:val="BodyText"/>
        <w:rPr>
          <w:i/>
          <w:sz w:val="20"/>
        </w:rPr>
      </w:pPr>
      <w:r w:rsidRPr="00FA2343">
        <w:rPr>
          <w:i/>
          <w:sz w:val="20"/>
        </w:rPr>
        <w:t>*</w:t>
      </w:r>
      <w:r w:rsidRPr="00FA2343">
        <w:rPr>
          <w:i/>
          <w:sz w:val="20"/>
        </w:rPr>
        <w:t>A</w:t>
      </w:r>
      <w:r w:rsidRPr="00FA2343">
        <w:rPr>
          <w:i/>
          <w:sz w:val="20"/>
        </w:rPr>
        <w:t>t the beginning of the year</w:t>
      </w:r>
    </w:p>
    <w:p w:rsidR="00B0295C" w:rsidRDefault="000178B1" w:rsidP="00B0295C">
      <w:pPr>
        <w:pStyle w:val="BodyText"/>
      </w:pPr>
      <w:r w:rsidRPr="00B0295C">
        <w:rPr>
          <w:b/>
          <w:i/>
        </w:rPr>
        <w:lastRenderedPageBreak/>
        <w:t>Example:</w:t>
      </w:r>
      <w:r>
        <w:t xml:space="preserve"> An employer maintains a group health plan that covers 1,000 plan participants. At the beginning of the plan year, 500 participants are literate only in Spanish, 101 are literate only in Vietnamese, and the remaining are literate in English. Each of the 1,</w:t>
      </w:r>
      <w:r>
        <w:t>000 plan participants must receive an SPD that contains a notice in both Spanish and Vietnamese explaining the ability to obtain assistance with understanding the SPD.</w:t>
      </w:r>
    </w:p>
    <w:p w:rsidR="00B0295C" w:rsidRDefault="000178B1" w:rsidP="00B0295C">
      <w:pPr>
        <w:pStyle w:val="Heading1"/>
      </w:pPr>
      <w:r>
        <w:t>WHAT ARE THE PENALTIES FOR NOT HAVING A WRITTEN PLAN DOCUMENT/SPD?</w:t>
      </w:r>
    </w:p>
    <w:p w:rsidR="00B0295C" w:rsidRDefault="000178B1" w:rsidP="00B0295C">
      <w:pPr>
        <w:pStyle w:val="BodyText"/>
      </w:pPr>
      <w:r>
        <w:t>There are no specific</w:t>
      </w:r>
      <w:r>
        <w:t xml:space="preserve"> penalties under ERISA for failing to have an SPD. However, not having an SPD can have serious consequences for an employer, including the following:</w:t>
      </w:r>
    </w:p>
    <w:p w:rsidR="00B0295C" w:rsidRDefault="000178B1" w:rsidP="00FA2343">
      <w:pPr>
        <w:pStyle w:val="BulletList"/>
        <w:spacing w:before="240"/>
      </w:pPr>
      <w:r w:rsidRPr="00B0295C">
        <w:rPr>
          <w:b/>
          <w:i/>
        </w:rPr>
        <w:t>Inability to Respond to Participant Requests:</w:t>
      </w:r>
      <w:r>
        <w:t xml:space="preserve"> The SPD must be furnished in response to a participant's or </w:t>
      </w:r>
      <w:r>
        <w:t>beneficiary’s written request. The plan administrator may be charged up to $110 per day if it does not provide the SPD within 30 days after an individual's request. These penalties may apply even where an SPD does not exist.</w:t>
      </w:r>
    </w:p>
    <w:p w:rsidR="00B0295C" w:rsidRDefault="000178B1" w:rsidP="00FA2343">
      <w:pPr>
        <w:pStyle w:val="BulletList"/>
        <w:spacing w:before="240"/>
      </w:pPr>
      <w:r w:rsidRPr="00B0295C">
        <w:rPr>
          <w:b/>
          <w:i/>
        </w:rPr>
        <w:t>Benefit Lawsuits:</w:t>
      </w:r>
      <w:r>
        <w:t xml:space="preserve"> Not having a </w:t>
      </w:r>
      <w:r>
        <w:t>plan document or SPD may put an employer at a disadvantage in the event a participant brings a lawsuit for benefits under the plan. Without these documents, it will be difficult for a plan administrator to prove that the plan’s terms support benefit decisi</w:t>
      </w:r>
      <w:r>
        <w:t>ons. Also, without an SPD, plan participants can use past practice or other evidence outside of the actual plan’s terms to support their claims. Additionally, courts will likely apply a standard of review that is less favorable to the employer (and more fa</w:t>
      </w:r>
      <w:r>
        <w:t xml:space="preserve">vorable to participants) when reviewing benefit claims under an unwritten plan. </w:t>
      </w:r>
    </w:p>
    <w:p w:rsidR="00B0295C" w:rsidRDefault="000178B1" w:rsidP="00FA2343">
      <w:pPr>
        <w:pStyle w:val="BulletList"/>
        <w:spacing w:before="240"/>
      </w:pPr>
      <w:r w:rsidRPr="00B0295C">
        <w:rPr>
          <w:b/>
          <w:i/>
        </w:rPr>
        <w:t>DOL Audits:</w:t>
      </w:r>
      <w:r>
        <w:t xml:space="preserve"> The DOL has broad authority to investigate or audit an employee benefit plan’s compliance with the ERISA. Traditionally, DOL audits of employee benefit plans have </w:t>
      </w:r>
      <w:r>
        <w:t>focused primarily on retirement plans, such as 401(k) plans. However, now that the DOL has started enforcing compliance with the ACA, health plan audits are on the rise. When the DOL selects an employer’s health plan for audit, it will almost always ask to</w:t>
      </w:r>
      <w:r>
        <w:t xml:space="preserve"> see a copy of the plan document and SPD, in addition to other plan-related documents. If an employer cannot respond to the DOL’s document requests, it may trigger additional document requests, interviews, on-site visits or even DOL enforcement actions.</w:t>
      </w:r>
    </w:p>
    <w:p w:rsidR="00B0295C" w:rsidRDefault="000178B1">
      <w:pPr>
        <w:spacing w:after="0" w:line="240" w:lineRule="auto"/>
        <w:rPr>
          <w:rFonts w:eastAsia="Times New Roman" w:cs="Arial"/>
          <w:sz w:val="22"/>
          <w:szCs w:val="20"/>
        </w:rPr>
      </w:pPr>
      <w:r>
        <w:br w:type="page"/>
      </w:r>
    </w:p>
    <w:tbl>
      <w:tblPr>
        <w:tblW w:w="10260" w:type="dxa"/>
        <w:tblInd w:w="-540" w:type="dxa"/>
        <w:tblLook w:val="04A0" w:firstRow="1" w:lastRow="0" w:firstColumn="1" w:lastColumn="0" w:noHBand="0" w:noVBand="1"/>
      </w:tblPr>
      <w:tblGrid>
        <w:gridCol w:w="10260"/>
      </w:tblGrid>
      <w:tr w:rsidR="00251830" w:rsidTr="00B0295C">
        <w:tc>
          <w:tcPr>
            <w:tcW w:w="10260" w:type="dxa"/>
            <w:shd w:val="clear" w:color="auto" w:fill="C45911"/>
          </w:tcPr>
          <w:p w:rsidR="00B0295C" w:rsidRPr="00B0295C" w:rsidRDefault="000178B1" w:rsidP="00B0295C">
            <w:pPr>
              <w:pStyle w:val="Footer"/>
              <w:spacing w:before="60" w:after="60"/>
              <w:jc w:val="center"/>
              <w:rPr>
                <w:rFonts w:ascii="Verdana" w:hAnsi="Verdana"/>
                <w:b/>
                <w:color w:val="FFFFFF"/>
                <w:sz w:val="22"/>
              </w:rPr>
            </w:pPr>
            <w:r>
              <w:rPr>
                <w:b/>
              </w:rPr>
              <w:lastRenderedPageBreak/>
              <w:br w:type="page"/>
            </w:r>
            <w:r>
              <w:br w:type="page"/>
            </w:r>
            <w:r>
              <w:rPr>
                <w:rFonts w:ascii="Verdana" w:hAnsi="Verdana"/>
                <w:sz w:val="19"/>
                <w:szCs w:val="19"/>
              </w:rPr>
              <w:br w:type="page"/>
            </w:r>
            <w:r>
              <w:rPr>
                <w:rFonts w:ascii="Verdana" w:hAnsi="Verdana"/>
                <w:sz w:val="19"/>
                <w:szCs w:val="19"/>
              </w:rPr>
              <w:br w:type="page"/>
            </w:r>
            <w:r>
              <w:rPr>
                <w:rFonts w:ascii="Verdana" w:hAnsi="Verdana"/>
                <w:sz w:val="19"/>
                <w:szCs w:val="19"/>
              </w:rPr>
              <w:br w:type="page"/>
            </w:r>
            <w:r w:rsidRPr="00B0295C">
              <w:rPr>
                <w:rFonts w:ascii="Verdana" w:hAnsi="Verdana"/>
                <w:b/>
                <w:color w:val="FFFFFF"/>
                <w:sz w:val="22"/>
              </w:rPr>
              <w:t>Summary Plan Description Checklist</w:t>
            </w:r>
          </w:p>
          <w:p w:rsidR="00B0295C" w:rsidRPr="00B0295C" w:rsidRDefault="000178B1" w:rsidP="00B0295C">
            <w:pPr>
              <w:pStyle w:val="Footer"/>
              <w:spacing w:before="60" w:after="60"/>
              <w:jc w:val="center"/>
              <w:rPr>
                <w:rFonts w:ascii="Verdana" w:hAnsi="Verdana"/>
                <w:i/>
                <w:color w:val="FFFFFF"/>
                <w:sz w:val="22"/>
              </w:rPr>
            </w:pPr>
            <w:r w:rsidRPr="00B0295C">
              <w:rPr>
                <w:rFonts w:ascii="Verdana" w:hAnsi="Verdana"/>
                <w:i/>
                <w:color w:val="FFFFFF"/>
                <w:sz w:val="22"/>
              </w:rPr>
              <w:t>(For Group Health Plans)</w:t>
            </w:r>
          </w:p>
        </w:tc>
      </w:tr>
      <w:tr w:rsidR="00251830" w:rsidTr="00B0295C">
        <w:tc>
          <w:tcPr>
            <w:tcW w:w="10260" w:type="dxa"/>
            <w:shd w:val="clear" w:color="auto" w:fill="AAC6CC"/>
          </w:tcPr>
          <w:p w:rsidR="00B0295C" w:rsidRPr="00B0295C" w:rsidRDefault="000178B1" w:rsidP="00B0295C">
            <w:pPr>
              <w:pStyle w:val="Footer"/>
              <w:spacing w:before="60" w:after="60"/>
              <w:rPr>
                <w:rFonts w:asciiTheme="minorHAnsi" w:hAnsiTheme="minorHAnsi" w:cstheme="minorHAnsi"/>
                <w:b/>
                <w:sz w:val="22"/>
              </w:rPr>
            </w:pPr>
            <w:r w:rsidRPr="00B0295C">
              <w:rPr>
                <w:rFonts w:asciiTheme="minorHAnsi" w:hAnsiTheme="minorHAnsi" w:cstheme="minorHAnsi"/>
                <w:b/>
                <w:sz w:val="22"/>
              </w:rPr>
              <w:t>Plan</w:t>
            </w:r>
          </w:p>
        </w:tc>
      </w:tr>
      <w:tr w:rsidR="00251830" w:rsidTr="00B0295C">
        <w:tc>
          <w:tcPr>
            <w:tcW w:w="10260" w:type="dxa"/>
            <w:shd w:val="clear" w:color="auto" w:fill="F2F2F2"/>
          </w:tcPr>
          <w:p w:rsidR="00B0295C" w:rsidRPr="00B0295C" w:rsidRDefault="000178B1" w:rsidP="00B0295C">
            <w:pPr>
              <w:pStyle w:val="Footer"/>
              <w:numPr>
                <w:ilvl w:val="0"/>
                <w:numId w:val="24"/>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Name</w:t>
            </w:r>
          </w:p>
          <w:p w:rsidR="00B0295C" w:rsidRPr="00B0295C" w:rsidRDefault="000178B1" w:rsidP="00B0295C">
            <w:pPr>
              <w:pStyle w:val="Footer"/>
              <w:numPr>
                <w:ilvl w:val="0"/>
                <w:numId w:val="24"/>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Type (for example, group health plan)</w:t>
            </w:r>
          </w:p>
          <w:p w:rsidR="00B0295C" w:rsidRPr="00B0295C" w:rsidRDefault="000178B1" w:rsidP="00B0295C">
            <w:pPr>
              <w:pStyle w:val="Footer"/>
              <w:numPr>
                <w:ilvl w:val="0"/>
                <w:numId w:val="24"/>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Plan Number (three digits)</w:t>
            </w:r>
          </w:p>
          <w:p w:rsidR="00B0295C" w:rsidRPr="00B0295C" w:rsidRDefault="000178B1" w:rsidP="00B0295C">
            <w:pPr>
              <w:pStyle w:val="Footer"/>
              <w:numPr>
                <w:ilvl w:val="0"/>
                <w:numId w:val="24"/>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Type of Plan Administration (insured/sponsor/third-party administrator)</w:t>
            </w:r>
          </w:p>
          <w:p w:rsidR="00B0295C" w:rsidRPr="00B0295C" w:rsidRDefault="000178B1" w:rsidP="00B0295C">
            <w:pPr>
              <w:pStyle w:val="Footer"/>
              <w:numPr>
                <w:ilvl w:val="0"/>
                <w:numId w:val="24"/>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Plan Year</w:t>
            </w:r>
          </w:p>
        </w:tc>
      </w:tr>
      <w:tr w:rsidR="00251830" w:rsidTr="00B0295C">
        <w:tc>
          <w:tcPr>
            <w:tcW w:w="10260" w:type="dxa"/>
            <w:shd w:val="clear" w:color="auto" w:fill="AAC6CC"/>
          </w:tcPr>
          <w:p w:rsidR="00B0295C" w:rsidRPr="00B0295C" w:rsidRDefault="000178B1" w:rsidP="00B0295C">
            <w:pPr>
              <w:pStyle w:val="Footer"/>
              <w:spacing w:before="60" w:after="60"/>
              <w:rPr>
                <w:rFonts w:asciiTheme="minorHAnsi" w:hAnsiTheme="minorHAnsi" w:cstheme="minorHAnsi"/>
                <w:b/>
                <w:sz w:val="22"/>
              </w:rPr>
            </w:pPr>
            <w:r w:rsidRPr="00B0295C">
              <w:rPr>
                <w:rFonts w:asciiTheme="minorHAnsi" w:hAnsiTheme="minorHAnsi" w:cstheme="minorHAnsi"/>
                <w:b/>
                <w:sz w:val="22"/>
              </w:rPr>
              <w:t>Plan Sponsor</w:t>
            </w:r>
          </w:p>
        </w:tc>
      </w:tr>
      <w:tr w:rsidR="00251830" w:rsidTr="00B0295C">
        <w:tc>
          <w:tcPr>
            <w:tcW w:w="10260" w:type="dxa"/>
            <w:shd w:val="clear" w:color="auto" w:fill="F2F2F2"/>
          </w:tcPr>
          <w:p w:rsidR="00B0295C" w:rsidRPr="00B0295C" w:rsidRDefault="000178B1" w:rsidP="00B0295C">
            <w:pPr>
              <w:pStyle w:val="Footer"/>
              <w:numPr>
                <w:ilvl w:val="0"/>
                <w:numId w:val="25"/>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Name</w:t>
            </w:r>
          </w:p>
          <w:p w:rsidR="00B0295C" w:rsidRPr="00B0295C" w:rsidRDefault="000178B1" w:rsidP="00B0295C">
            <w:pPr>
              <w:pStyle w:val="Footer"/>
              <w:numPr>
                <w:ilvl w:val="0"/>
                <w:numId w:val="25"/>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Address</w:t>
            </w:r>
          </w:p>
          <w:p w:rsidR="00B0295C" w:rsidRPr="00B0295C" w:rsidRDefault="000178B1" w:rsidP="00B0295C">
            <w:pPr>
              <w:pStyle w:val="Footer"/>
              <w:numPr>
                <w:ilvl w:val="0"/>
                <w:numId w:val="25"/>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Employer Identification Number (EIN)</w:t>
            </w:r>
          </w:p>
          <w:p w:rsidR="00B0295C" w:rsidRPr="00B0295C" w:rsidRDefault="000178B1" w:rsidP="00B0295C">
            <w:pPr>
              <w:pStyle w:val="Footer"/>
              <w:numPr>
                <w:ilvl w:val="0"/>
                <w:numId w:val="25"/>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 statement that a complete list of employers, employee organizations and unions sponsoring the plan is available</w:t>
            </w:r>
          </w:p>
          <w:p w:rsidR="00B0295C" w:rsidRPr="00B0295C" w:rsidRDefault="000178B1" w:rsidP="00B0295C">
            <w:pPr>
              <w:pStyle w:val="Footer"/>
              <w:numPr>
                <w:ilvl w:val="0"/>
                <w:numId w:val="25"/>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Where a plan is established pursuant to a collective-bargaining agreement, a statement that a copy of tha</w:t>
            </w:r>
            <w:r w:rsidRPr="00B0295C">
              <w:rPr>
                <w:rFonts w:asciiTheme="minorHAnsi" w:hAnsiTheme="minorHAnsi" w:cstheme="minorHAnsi"/>
                <w:sz w:val="22"/>
              </w:rPr>
              <w:t>t agreement is available upon request to the plan administrator</w:t>
            </w:r>
          </w:p>
        </w:tc>
      </w:tr>
      <w:tr w:rsidR="00251830" w:rsidTr="00B0295C">
        <w:tc>
          <w:tcPr>
            <w:tcW w:w="10260" w:type="dxa"/>
            <w:shd w:val="clear" w:color="auto" w:fill="AAC6CC"/>
          </w:tcPr>
          <w:p w:rsidR="00B0295C" w:rsidRPr="00B0295C" w:rsidRDefault="000178B1" w:rsidP="00B0295C">
            <w:pPr>
              <w:pStyle w:val="Footer"/>
              <w:spacing w:before="60" w:after="60"/>
              <w:rPr>
                <w:rFonts w:asciiTheme="minorHAnsi" w:hAnsiTheme="minorHAnsi" w:cstheme="minorHAnsi"/>
                <w:b/>
                <w:sz w:val="22"/>
              </w:rPr>
            </w:pPr>
            <w:r w:rsidRPr="00B0295C">
              <w:rPr>
                <w:rFonts w:asciiTheme="minorHAnsi" w:hAnsiTheme="minorHAnsi" w:cstheme="minorHAnsi"/>
                <w:b/>
                <w:sz w:val="22"/>
              </w:rPr>
              <w:t>Financing &amp; Administration</w:t>
            </w:r>
          </w:p>
        </w:tc>
      </w:tr>
      <w:tr w:rsidR="00251830" w:rsidTr="00B0295C">
        <w:tc>
          <w:tcPr>
            <w:tcW w:w="10260" w:type="dxa"/>
            <w:shd w:val="clear" w:color="auto" w:fill="F2F2F2"/>
          </w:tcPr>
          <w:p w:rsidR="00B0295C" w:rsidRPr="00B0295C" w:rsidRDefault="000178B1" w:rsidP="00B0295C">
            <w:pPr>
              <w:pStyle w:val="Footer"/>
              <w:numPr>
                <w:ilvl w:val="0"/>
                <w:numId w:val="26"/>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Funding medium (insurance company, trust fund)</w:t>
            </w:r>
          </w:p>
          <w:p w:rsidR="00B0295C" w:rsidRPr="00B0295C" w:rsidRDefault="000178B1" w:rsidP="00B0295C">
            <w:pPr>
              <w:pStyle w:val="Footer"/>
              <w:numPr>
                <w:ilvl w:val="0"/>
                <w:numId w:val="26"/>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Source of contributions and how contributions are calculated</w:t>
            </w:r>
          </w:p>
        </w:tc>
      </w:tr>
      <w:tr w:rsidR="00251830" w:rsidTr="00B0295C">
        <w:tc>
          <w:tcPr>
            <w:tcW w:w="10260" w:type="dxa"/>
            <w:shd w:val="clear" w:color="auto" w:fill="AAC6CC"/>
          </w:tcPr>
          <w:p w:rsidR="00B0295C" w:rsidRPr="00B0295C" w:rsidRDefault="000178B1" w:rsidP="00B0295C">
            <w:pPr>
              <w:pStyle w:val="Footer"/>
              <w:spacing w:before="60" w:after="60"/>
              <w:rPr>
                <w:rFonts w:asciiTheme="minorHAnsi" w:hAnsiTheme="minorHAnsi" w:cstheme="minorHAnsi"/>
                <w:b/>
                <w:sz w:val="22"/>
              </w:rPr>
            </w:pPr>
            <w:r w:rsidRPr="00B0295C">
              <w:rPr>
                <w:rFonts w:asciiTheme="minorHAnsi" w:hAnsiTheme="minorHAnsi" w:cstheme="minorHAnsi"/>
                <w:b/>
                <w:sz w:val="22"/>
              </w:rPr>
              <w:t>Plan Administrator</w:t>
            </w:r>
          </w:p>
        </w:tc>
      </w:tr>
      <w:tr w:rsidR="00251830" w:rsidTr="00B0295C">
        <w:tc>
          <w:tcPr>
            <w:tcW w:w="10260" w:type="dxa"/>
            <w:shd w:val="clear" w:color="auto" w:fill="F2F2F2"/>
          </w:tcPr>
          <w:p w:rsidR="00B0295C" w:rsidRPr="00B0295C" w:rsidRDefault="000178B1" w:rsidP="00B0295C">
            <w:pPr>
              <w:pStyle w:val="Footer"/>
              <w:numPr>
                <w:ilvl w:val="0"/>
                <w:numId w:val="27"/>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Name</w:t>
            </w:r>
          </w:p>
          <w:p w:rsidR="00B0295C" w:rsidRPr="00B0295C" w:rsidRDefault="000178B1" w:rsidP="00B0295C">
            <w:pPr>
              <w:pStyle w:val="Footer"/>
              <w:numPr>
                <w:ilvl w:val="0"/>
                <w:numId w:val="27"/>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Address</w:t>
            </w:r>
          </w:p>
          <w:p w:rsidR="00B0295C" w:rsidRPr="00B0295C" w:rsidRDefault="000178B1" w:rsidP="00B0295C">
            <w:pPr>
              <w:pStyle w:val="Footer"/>
              <w:numPr>
                <w:ilvl w:val="0"/>
                <w:numId w:val="27"/>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Telephone Number</w:t>
            </w:r>
          </w:p>
        </w:tc>
      </w:tr>
      <w:tr w:rsidR="00251830" w:rsidTr="00B0295C">
        <w:tc>
          <w:tcPr>
            <w:tcW w:w="10260" w:type="dxa"/>
            <w:shd w:val="clear" w:color="auto" w:fill="AAC6CC"/>
          </w:tcPr>
          <w:p w:rsidR="00B0295C" w:rsidRPr="00B0295C" w:rsidRDefault="000178B1" w:rsidP="00B0295C">
            <w:pPr>
              <w:pStyle w:val="Footer"/>
              <w:spacing w:before="60" w:after="60"/>
              <w:rPr>
                <w:rFonts w:asciiTheme="minorHAnsi" w:hAnsiTheme="minorHAnsi" w:cstheme="minorHAnsi"/>
                <w:b/>
                <w:sz w:val="22"/>
              </w:rPr>
            </w:pPr>
            <w:r w:rsidRPr="00B0295C">
              <w:rPr>
                <w:rFonts w:asciiTheme="minorHAnsi" w:hAnsiTheme="minorHAnsi" w:cstheme="minorHAnsi"/>
                <w:b/>
                <w:sz w:val="22"/>
              </w:rPr>
              <w:t>Agent for Service of Legal Process</w:t>
            </w:r>
          </w:p>
        </w:tc>
      </w:tr>
      <w:tr w:rsidR="00251830" w:rsidTr="00B0295C">
        <w:tc>
          <w:tcPr>
            <w:tcW w:w="10260" w:type="dxa"/>
            <w:shd w:val="clear" w:color="auto" w:fill="F2F2F2"/>
          </w:tcPr>
          <w:p w:rsidR="00B0295C" w:rsidRPr="00B0295C" w:rsidRDefault="000178B1" w:rsidP="00B0295C">
            <w:pPr>
              <w:pStyle w:val="Footer"/>
              <w:numPr>
                <w:ilvl w:val="0"/>
                <w:numId w:val="28"/>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Name</w:t>
            </w:r>
          </w:p>
          <w:p w:rsidR="00B0295C" w:rsidRPr="00B0295C" w:rsidRDefault="000178B1" w:rsidP="00B0295C">
            <w:pPr>
              <w:pStyle w:val="Footer"/>
              <w:numPr>
                <w:ilvl w:val="0"/>
                <w:numId w:val="28"/>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Address</w:t>
            </w:r>
          </w:p>
          <w:p w:rsidR="00B0295C" w:rsidRPr="00B0295C" w:rsidRDefault="000178B1" w:rsidP="00B0295C">
            <w:pPr>
              <w:pStyle w:val="Footer"/>
              <w:numPr>
                <w:ilvl w:val="0"/>
                <w:numId w:val="28"/>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Statement that legal process can be served on the plan administrator or plan trustee</w:t>
            </w:r>
          </w:p>
        </w:tc>
      </w:tr>
      <w:tr w:rsidR="00251830" w:rsidTr="00B0295C">
        <w:tc>
          <w:tcPr>
            <w:tcW w:w="10260" w:type="dxa"/>
            <w:shd w:val="clear" w:color="auto" w:fill="AAC6CC"/>
          </w:tcPr>
          <w:p w:rsidR="00B0295C" w:rsidRPr="00B0295C" w:rsidRDefault="000178B1" w:rsidP="00B0295C">
            <w:pPr>
              <w:pStyle w:val="Footer"/>
              <w:spacing w:before="60" w:after="60"/>
              <w:rPr>
                <w:rFonts w:asciiTheme="minorHAnsi" w:hAnsiTheme="minorHAnsi" w:cstheme="minorHAnsi"/>
                <w:b/>
                <w:sz w:val="22"/>
              </w:rPr>
            </w:pPr>
            <w:r w:rsidRPr="00B0295C">
              <w:rPr>
                <w:rFonts w:asciiTheme="minorHAnsi" w:hAnsiTheme="minorHAnsi" w:cstheme="minorHAnsi"/>
                <w:b/>
                <w:sz w:val="22"/>
              </w:rPr>
              <w:t>Trustees (if the plan has a trust)</w:t>
            </w:r>
          </w:p>
        </w:tc>
      </w:tr>
      <w:tr w:rsidR="00251830" w:rsidTr="00B0295C">
        <w:tc>
          <w:tcPr>
            <w:tcW w:w="10260" w:type="dxa"/>
            <w:shd w:val="clear" w:color="auto" w:fill="F2F2F2"/>
          </w:tcPr>
          <w:p w:rsidR="00B0295C" w:rsidRPr="00B0295C" w:rsidRDefault="000178B1" w:rsidP="00B0295C">
            <w:pPr>
              <w:pStyle w:val="Footer"/>
              <w:numPr>
                <w:ilvl w:val="0"/>
                <w:numId w:val="29"/>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Names</w:t>
            </w:r>
          </w:p>
          <w:p w:rsidR="00B0295C" w:rsidRPr="00B0295C" w:rsidRDefault="000178B1" w:rsidP="00B0295C">
            <w:pPr>
              <w:pStyle w:val="Footer"/>
              <w:numPr>
                <w:ilvl w:val="0"/>
                <w:numId w:val="29"/>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Titles</w:t>
            </w:r>
          </w:p>
          <w:p w:rsidR="00B0295C" w:rsidRPr="00B0295C" w:rsidRDefault="000178B1" w:rsidP="00B0295C">
            <w:pPr>
              <w:pStyle w:val="Footer"/>
              <w:numPr>
                <w:ilvl w:val="0"/>
                <w:numId w:val="29"/>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Addresses</w:t>
            </w:r>
          </w:p>
        </w:tc>
      </w:tr>
      <w:tr w:rsidR="00251830" w:rsidTr="00B0295C">
        <w:tc>
          <w:tcPr>
            <w:tcW w:w="10260" w:type="dxa"/>
            <w:shd w:val="clear" w:color="auto" w:fill="AAC6CC"/>
          </w:tcPr>
          <w:p w:rsidR="00B0295C" w:rsidRPr="00B0295C" w:rsidRDefault="000178B1" w:rsidP="00B0295C">
            <w:pPr>
              <w:pStyle w:val="Footer"/>
              <w:spacing w:before="60" w:after="60"/>
              <w:rPr>
                <w:rFonts w:asciiTheme="minorHAnsi" w:hAnsiTheme="minorHAnsi" w:cstheme="minorHAnsi"/>
                <w:b/>
                <w:sz w:val="22"/>
              </w:rPr>
            </w:pPr>
            <w:r w:rsidRPr="00B0295C">
              <w:rPr>
                <w:rFonts w:asciiTheme="minorHAnsi" w:hAnsiTheme="minorHAnsi" w:cstheme="minorHAnsi"/>
                <w:b/>
                <w:sz w:val="22"/>
              </w:rPr>
              <w:t>Eligibility &amp; Benefits</w:t>
            </w:r>
          </w:p>
        </w:tc>
      </w:tr>
      <w:tr w:rsidR="00251830" w:rsidTr="00B0295C">
        <w:tc>
          <w:tcPr>
            <w:tcW w:w="10260" w:type="dxa"/>
            <w:shd w:val="clear" w:color="auto" w:fill="F2F2F2"/>
          </w:tcPr>
          <w:p w:rsidR="00B0295C" w:rsidRPr="00B0295C" w:rsidRDefault="000178B1" w:rsidP="00B0295C">
            <w:pPr>
              <w:pStyle w:val="Footer"/>
              <w:numPr>
                <w:ilvl w:val="0"/>
                <w:numId w:val="30"/>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 xml:space="preserve">Statement of the conditions </w:t>
            </w:r>
            <w:r w:rsidRPr="00B0295C">
              <w:rPr>
                <w:rFonts w:asciiTheme="minorHAnsi" w:hAnsiTheme="minorHAnsi" w:cstheme="minorHAnsi"/>
                <w:sz w:val="22"/>
              </w:rPr>
              <w:t>pertaining to eligibility to receive benefits (such as enrollment periods, measurement methods, waiting periods and other eligibility criteria)</w:t>
            </w:r>
          </w:p>
          <w:p w:rsidR="00B0295C" w:rsidRPr="00B0295C" w:rsidRDefault="000178B1" w:rsidP="00B0295C">
            <w:pPr>
              <w:pStyle w:val="Footer"/>
              <w:numPr>
                <w:ilvl w:val="0"/>
                <w:numId w:val="30"/>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lastRenderedPageBreak/>
              <w:t xml:space="preserve">Statement that the plan administrator has discretionary authority to interpret and/or administer the plan (for </w:t>
            </w:r>
            <w:r w:rsidRPr="00B0295C">
              <w:rPr>
                <w:rFonts w:asciiTheme="minorHAnsi" w:hAnsiTheme="minorHAnsi" w:cstheme="minorHAnsi"/>
                <w:sz w:val="22"/>
              </w:rPr>
              <w:t>insured plans, a statement that the insurer will make benefit determinations)</w:t>
            </w:r>
          </w:p>
          <w:p w:rsidR="00B0295C" w:rsidRPr="00B0295C" w:rsidRDefault="000178B1" w:rsidP="00B0295C">
            <w:pPr>
              <w:pStyle w:val="Footer"/>
              <w:numPr>
                <w:ilvl w:val="0"/>
                <w:numId w:val="30"/>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 summary of benefits that includes a description of:*</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Cost-sharing provisions (premiums, deductibles, coinsurance, copayment amounts for which the beneficiary will be responsibl</w:t>
            </w:r>
            <w:r w:rsidRPr="00B0295C">
              <w:rPr>
                <w:rFonts w:asciiTheme="minorHAnsi" w:hAnsiTheme="minorHAnsi" w:cstheme="minorHAnsi"/>
                <w:sz w:val="22"/>
              </w:rPr>
              <w:t>e)</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Annual or lifetime maximums or other limits on benefits under the plan</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Preventive services coverage</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Prescription drug coverage</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Medical test, device and procedure coverage</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Requirements to use network providers</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List of network providers**</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 xml:space="preserve">Coverage for </w:t>
            </w:r>
            <w:r w:rsidRPr="00B0295C">
              <w:rPr>
                <w:rFonts w:asciiTheme="minorHAnsi" w:hAnsiTheme="minorHAnsi" w:cstheme="minorHAnsi"/>
                <w:sz w:val="22"/>
              </w:rPr>
              <w:t>services provided by non-network providers</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Limits on selection of primary care providers or providers of specialty medical care</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Conditions or limits applicable to obtaining emergency medical care</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Pre-authorization or utilization review requirements</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Benefit</w:t>
            </w:r>
            <w:r w:rsidRPr="00B0295C">
              <w:rPr>
                <w:rFonts w:asciiTheme="minorHAnsi" w:hAnsiTheme="minorHAnsi" w:cstheme="minorHAnsi"/>
                <w:sz w:val="22"/>
              </w:rPr>
              <w:t>s provided pursuant to the Women’s Health &amp; Cancer Rights Act and Newborn’s and Mother’s Health Protection Act (Model Statement for NMHPA)</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COBRA Rights/USERRA Rights</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Claims and appeals procedures</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 xml:space="preserve">Statement that a copy of QMSCO procedures is available upon </w:t>
            </w:r>
            <w:r w:rsidRPr="00B0295C">
              <w:rPr>
                <w:rFonts w:asciiTheme="minorHAnsi" w:hAnsiTheme="minorHAnsi" w:cstheme="minorHAnsi"/>
                <w:sz w:val="22"/>
              </w:rPr>
              <w:t>request</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Coverage for adopted children</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Continued coverage of costs of pediatric vaccines</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Mental health parity disclosures</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ACA disclosures, including notice of grandfathered status and notice of patient protections (as applicable to the plan)</w:t>
            </w:r>
          </w:p>
          <w:p w:rsidR="00B0295C" w:rsidRPr="00B0295C" w:rsidRDefault="000178B1" w:rsidP="00B0295C">
            <w:pPr>
              <w:pStyle w:val="Footer"/>
              <w:numPr>
                <w:ilvl w:val="1"/>
                <w:numId w:val="30"/>
              </w:numPr>
              <w:tabs>
                <w:tab w:val="clear" w:pos="4680"/>
                <w:tab w:val="clear" w:pos="9360"/>
              </w:tabs>
              <w:spacing w:before="60" w:after="60"/>
              <w:ind w:left="720"/>
              <w:rPr>
                <w:rFonts w:asciiTheme="minorHAnsi" w:hAnsiTheme="minorHAnsi" w:cstheme="minorHAnsi"/>
                <w:sz w:val="22"/>
              </w:rPr>
            </w:pPr>
            <w:r w:rsidRPr="00B0295C">
              <w:rPr>
                <w:rFonts w:asciiTheme="minorHAnsi" w:hAnsiTheme="minorHAnsi" w:cstheme="minorHAnsi"/>
                <w:sz w:val="22"/>
              </w:rPr>
              <w:t>HIPAA special e</w:t>
            </w:r>
            <w:r w:rsidRPr="00B0295C">
              <w:rPr>
                <w:rFonts w:asciiTheme="minorHAnsi" w:hAnsiTheme="minorHAnsi" w:cstheme="minorHAnsi"/>
                <w:sz w:val="22"/>
              </w:rPr>
              <w:t>nrollment disclosures</w:t>
            </w:r>
          </w:p>
          <w:p w:rsidR="00B0295C" w:rsidRPr="00B0295C" w:rsidRDefault="000178B1" w:rsidP="00B0295C">
            <w:pPr>
              <w:pStyle w:val="Footer"/>
              <w:spacing w:before="60" w:after="60"/>
              <w:rPr>
                <w:rFonts w:asciiTheme="minorHAnsi" w:hAnsiTheme="minorHAnsi" w:cstheme="minorHAnsi"/>
                <w:i/>
                <w:sz w:val="22"/>
              </w:rPr>
            </w:pPr>
            <w:r w:rsidRPr="00B0295C">
              <w:rPr>
                <w:rFonts w:asciiTheme="minorHAnsi" w:hAnsiTheme="minorHAnsi" w:cstheme="minorHAnsi"/>
                <w:i/>
                <w:sz w:val="22"/>
              </w:rPr>
              <w:t xml:space="preserve">*Some of these content requirements are affected by ACA mandates, such as the ACA’s ban on lifetime and annual dollar limits for essential health benefits. </w:t>
            </w:r>
          </w:p>
          <w:p w:rsidR="00B0295C" w:rsidRPr="00B0295C" w:rsidRDefault="000178B1" w:rsidP="00B0295C">
            <w:pPr>
              <w:pStyle w:val="Footer"/>
              <w:spacing w:before="60" w:after="60"/>
              <w:rPr>
                <w:rFonts w:asciiTheme="minorHAnsi" w:hAnsiTheme="minorHAnsi" w:cstheme="minorHAnsi"/>
                <w:i/>
                <w:sz w:val="22"/>
              </w:rPr>
            </w:pPr>
            <w:r w:rsidRPr="00B0295C">
              <w:rPr>
                <w:rFonts w:asciiTheme="minorHAnsi" w:hAnsiTheme="minorHAnsi" w:cstheme="minorHAnsi"/>
                <w:i/>
                <w:sz w:val="22"/>
              </w:rPr>
              <w:t>**The provider listing may be furnished as a separate document, provided that</w:t>
            </w:r>
            <w:r w:rsidRPr="00B0295C">
              <w:rPr>
                <w:rFonts w:asciiTheme="minorHAnsi" w:hAnsiTheme="minorHAnsi" w:cstheme="minorHAnsi"/>
                <w:i/>
                <w:sz w:val="22"/>
              </w:rPr>
              <w:t xml:space="preserve"> the SPD contains a general description of the provider network and states that provider lists are furnished automatically, without charge, as a separate document.</w:t>
            </w:r>
          </w:p>
        </w:tc>
      </w:tr>
      <w:tr w:rsidR="00251830" w:rsidTr="00B0295C">
        <w:tc>
          <w:tcPr>
            <w:tcW w:w="10260" w:type="dxa"/>
            <w:shd w:val="clear" w:color="auto" w:fill="AAC6CC"/>
          </w:tcPr>
          <w:p w:rsidR="00B0295C" w:rsidRPr="00B0295C" w:rsidRDefault="000178B1" w:rsidP="00B0295C">
            <w:pPr>
              <w:pStyle w:val="Footer"/>
              <w:spacing w:before="60" w:after="60"/>
              <w:rPr>
                <w:rFonts w:asciiTheme="minorHAnsi" w:hAnsiTheme="minorHAnsi" w:cstheme="minorHAnsi"/>
                <w:b/>
                <w:sz w:val="22"/>
              </w:rPr>
            </w:pPr>
            <w:r w:rsidRPr="00B0295C">
              <w:rPr>
                <w:rFonts w:asciiTheme="minorHAnsi" w:hAnsiTheme="minorHAnsi" w:cstheme="minorHAnsi"/>
                <w:b/>
                <w:sz w:val="22"/>
              </w:rPr>
              <w:lastRenderedPageBreak/>
              <w:t>Loss of Benefits Statement</w:t>
            </w:r>
          </w:p>
        </w:tc>
      </w:tr>
      <w:tr w:rsidR="00251830" w:rsidTr="00B0295C">
        <w:tc>
          <w:tcPr>
            <w:tcW w:w="10260" w:type="dxa"/>
            <w:shd w:val="clear" w:color="auto" w:fill="F2F2F2"/>
          </w:tcPr>
          <w:p w:rsidR="00B0295C" w:rsidRPr="00B0295C" w:rsidRDefault="000178B1" w:rsidP="00B0295C">
            <w:pPr>
              <w:pStyle w:val="Footer"/>
              <w:numPr>
                <w:ilvl w:val="0"/>
                <w:numId w:val="31"/>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 xml:space="preserve">A statement clearly identifying circumstances which may result </w:t>
            </w:r>
            <w:r w:rsidRPr="00B0295C">
              <w:rPr>
                <w:rFonts w:asciiTheme="minorHAnsi" w:hAnsiTheme="minorHAnsi" w:cstheme="minorHAnsi"/>
                <w:sz w:val="22"/>
              </w:rPr>
              <w:t>in disqualification, ineligibility, or denial, loss, forfeiture, suspension, offset, reduction, or recovery (subrogation)</w:t>
            </w:r>
          </w:p>
          <w:p w:rsidR="00B0295C" w:rsidRPr="00B0295C" w:rsidRDefault="000178B1" w:rsidP="00B0295C">
            <w:pPr>
              <w:pStyle w:val="Footer"/>
              <w:numPr>
                <w:ilvl w:val="0"/>
                <w:numId w:val="31"/>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 summary of plan provisions governing the authority of the plan sponsor or others to terminate, amend or eliminate benefits under the</w:t>
            </w:r>
            <w:r w:rsidRPr="00B0295C">
              <w:rPr>
                <w:rFonts w:asciiTheme="minorHAnsi" w:hAnsiTheme="minorHAnsi" w:cstheme="minorHAnsi"/>
                <w:sz w:val="22"/>
              </w:rPr>
              <w:t xml:space="preserve"> plan, including a description of participants’ and beneficiaries’ benefits, rights and obligations on plan termination and a description of any plan provisions governing the allocation and disposition of plan assets upon termination</w:t>
            </w:r>
          </w:p>
        </w:tc>
      </w:tr>
      <w:tr w:rsidR="00251830" w:rsidTr="00B0295C">
        <w:tc>
          <w:tcPr>
            <w:tcW w:w="10260" w:type="dxa"/>
            <w:shd w:val="clear" w:color="auto" w:fill="AAC6CC"/>
          </w:tcPr>
          <w:p w:rsidR="00B0295C" w:rsidRPr="00B0295C" w:rsidRDefault="000178B1" w:rsidP="00B0295C">
            <w:pPr>
              <w:pStyle w:val="Footer"/>
              <w:spacing w:before="60" w:after="60"/>
              <w:rPr>
                <w:rFonts w:asciiTheme="minorHAnsi" w:hAnsiTheme="minorHAnsi" w:cstheme="minorHAnsi"/>
                <w:b/>
                <w:sz w:val="22"/>
              </w:rPr>
            </w:pPr>
            <w:r w:rsidRPr="00B0295C">
              <w:rPr>
                <w:rFonts w:asciiTheme="minorHAnsi" w:hAnsiTheme="minorHAnsi" w:cstheme="minorHAnsi"/>
                <w:b/>
                <w:sz w:val="22"/>
              </w:rPr>
              <w:lastRenderedPageBreak/>
              <w:t>ERISA Rights</w:t>
            </w:r>
          </w:p>
        </w:tc>
      </w:tr>
      <w:tr w:rsidR="00251830" w:rsidTr="00B0295C">
        <w:tc>
          <w:tcPr>
            <w:tcW w:w="10260" w:type="dxa"/>
            <w:shd w:val="clear" w:color="auto" w:fill="F2F2F2"/>
          </w:tcPr>
          <w:p w:rsidR="00B0295C" w:rsidRPr="00B0295C" w:rsidRDefault="000178B1" w:rsidP="00B0295C">
            <w:pPr>
              <w:pStyle w:val="Footer"/>
              <w:spacing w:before="60" w:after="60"/>
              <w:rPr>
                <w:rFonts w:asciiTheme="minorHAnsi" w:hAnsiTheme="minorHAnsi" w:cstheme="minorHAnsi"/>
                <w:sz w:val="22"/>
              </w:rPr>
            </w:pPr>
            <w:r w:rsidRPr="00B0295C">
              <w:rPr>
                <w:rFonts w:asciiTheme="minorHAnsi" w:hAnsiTheme="minorHAnsi" w:cstheme="minorHAnsi"/>
                <w:sz w:val="22"/>
              </w:rPr>
              <w:t>Model s</w:t>
            </w:r>
            <w:r w:rsidRPr="00B0295C">
              <w:rPr>
                <w:rFonts w:asciiTheme="minorHAnsi" w:hAnsiTheme="minorHAnsi" w:cstheme="minorHAnsi"/>
                <w:sz w:val="22"/>
              </w:rPr>
              <w:t>tatement of ERISA rights</w:t>
            </w:r>
          </w:p>
        </w:tc>
      </w:tr>
      <w:tr w:rsidR="00251830" w:rsidTr="00B0295C">
        <w:tc>
          <w:tcPr>
            <w:tcW w:w="10260" w:type="dxa"/>
            <w:shd w:val="clear" w:color="auto" w:fill="AAC6CC"/>
          </w:tcPr>
          <w:p w:rsidR="00B0295C" w:rsidRPr="00B0295C" w:rsidRDefault="000178B1" w:rsidP="00B0295C">
            <w:pPr>
              <w:pStyle w:val="Footer"/>
              <w:spacing w:before="60" w:after="60"/>
              <w:rPr>
                <w:rFonts w:asciiTheme="minorHAnsi" w:hAnsiTheme="minorHAnsi" w:cstheme="minorHAnsi"/>
                <w:b/>
                <w:sz w:val="22"/>
              </w:rPr>
            </w:pPr>
            <w:r w:rsidRPr="00B0295C">
              <w:rPr>
                <w:rFonts w:asciiTheme="minorHAnsi" w:hAnsiTheme="minorHAnsi" w:cstheme="minorHAnsi"/>
                <w:b/>
                <w:sz w:val="22"/>
              </w:rPr>
              <w:t>Foreign Language Statement (if applicable</w:t>
            </w:r>
          </w:p>
        </w:tc>
      </w:tr>
      <w:tr w:rsidR="00251830" w:rsidTr="00B0295C">
        <w:tc>
          <w:tcPr>
            <w:tcW w:w="10260" w:type="dxa"/>
            <w:shd w:val="clear" w:color="auto" w:fill="F2F2F2"/>
          </w:tcPr>
          <w:p w:rsidR="00B0295C" w:rsidRPr="00B0295C" w:rsidRDefault="000178B1" w:rsidP="00B0295C">
            <w:pPr>
              <w:pStyle w:val="Footer"/>
              <w:spacing w:before="60" w:after="60"/>
              <w:rPr>
                <w:rFonts w:asciiTheme="minorHAnsi" w:hAnsiTheme="minorHAnsi" w:cstheme="minorHAnsi"/>
                <w:sz w:val="22"/>
                <w:u w:val="single"/>
              </w:rPr>
            </w:pPr>
            <w:r w:rsidRPr="00B0295C">
              <w:rPr>
                <w:rFonts w:asciiTheme="minorHAnsi" w:hAnsiTheme="minorHAnsi" w:cstheme="minorHAnsi"/>
                <w:sz w:val="22"/>
                <w:u w:val="single"/>
              </w:rPr>
              <w:t>Sample Statement:</w:t>
            </w:r>
          </w:p>
          <w:p w:rsidR="00B0295C" w:rsidRPr="00B0295C" w:rsidRDefault="000178B1" w:rsidP="00B0295C">
            <w:pPr>
              <w:pStyle w:val="Footer"/>
              <w:spacing w:before="60" w:after="60"/>
              <w:rPr>
                <w:rFonts w:asciiTheme="minorHAnsi" w:hAnsiTheme="minorHAnsi" w:cstheme="minorHAnsi"/>
                <w:i/>
                <w:sz w:val="22"/>
              </w:rPr>
            </w:pPr>
            <w:r w:rsidRPr="00B0295C">
              <w:rPr>
                <w:rFonts w:asciiTheme="minorHAnsi" w:hAnsiTheme="minorHAnsi" w:cstheme="minorHAnsi"/>
                <w:i/>
                <w:sz w:val="22"/>
              </w:rPr>
              <w:t xml:space="preserve">This booklet contains a summary in English of your rights and benefits under this employer’s group health plan.  If you have difficulty understanding any part of this </w:t>
            </w:r>
            <w:r w:rsidRPr="00B0295C">
              <w:rPr>
                <w:rFonts w:asciiTheme="minorHAnsi" w:hAnsiTheme="minorHAnsi" w:cstheme="minorHAnsi"/>
                <w:i/>
                <w:sz w:val="22"/>
              </w:rPr>
              <w:t>booklet, contact the plan administrator, at [</w:t>
            </w:r>
            <w:r w:rsidRPr="00B0295C">
              <w:rPr>
                <w:rFonts w:asciiTheme="minorHAnsi" w:hAnsiTheme="minorHAnsi" w:cstheme="minorHAnsi"/>
                <w:i/>
                <w:color w:val="FF0000"/>
                <w:sz w:val="22"/>
              </w:rPr>
              <w:t>insert address</w:t>
            </w:r>
            <w:r w:rsidRPr="00B0295C">
              <w:rPr>
                <w:rFonts w:asciiTheme="minorHAnsi" w:hAnsiTheme="minorHAnsi" w:cstheme="minorHAnsi"/>
                <w:i/>
                <w:sz w:val="22"/>
              </w:rPr>
              <w:t>] from 8:30 a.m. to 5 p.m. Monday through Friday. You may also call the plan administrator’s office at 202-555-5555 for assistance.</w:t>
            </w:r>
          </w:p>
          <w:p w:rsidR="00B0295C" w:rsidRPr="00B0295C" w:rsidRDefault="000178B1" w:rsidP="00B0295C">
            <w:pPr>
              <w:pStyle w:val="Footer"/>
              <w:spacing w:before="60" w:after="60"/>
              <w:rPr>
                <w:rFonts w:asciiTheme="minorHAnsi" w:hAnsiTheme="minorHAnsi" w:cstheme="minorHAnsi"/>
                <w:sz w:val="22"/>
              </w:rPr>
            </w:pPr>
            <w:r w:rsidRPr="00B0295C">
              <w:rPr>
                <w:rFonts w:asciiTheme="minorHAnsi" w:hAnsiTheme="minorHAnsi" w:cstheme="minorHAnsi"/>
                <w:sz w:val="22"/>
              </w:rPr>
              <w:t>This notice must be prominently displayed within the SPD and must</w:t>
            </w:r>
            <w:r w:rsidRPr="00B0295C">
              <w:rPr>
                <w:rFonts w:asciiTheme="minorHAnsi" w:hAnsiTheme="minorHAnsi" w:cstheme="minorHAnsi"/>
                <w:sz w:val="22"/>
              </w:rPr>
              <w:t xml:space="preserve"> appear in the non-English language common to plan participants.</w:t>
            </w:r>
          </w:p>
        </w:tc>
      </w:tr>
      <w:tr w:rsidR="00251830" w:rsidTr="00B0295C">
        <w:tc>
          <w:tcPr>
            <w:tcW w:w="10260" w:type="dxa"/>
            <w:shd w:val="clear" w:color="auto" w:fill="AAC6CC"/>
          </w:tcPr>
          <w:p w:rsidR="00B0295C" w:rsidRPr="00B0295C" w:rsidRDefault="000178B1" w:rsidP="00B0295C">
            <w:pPr>
              <w:pStyle w:val="Footer"/>
              <w:spacing w:before="60" w:after="60"/>
              <w:rPr>
                <w:rFonts w:asciiTheme="minorHAnsi" w:hAnsiTheme="minorHAnsi" w:cstheme="minorHAnsi"/>
                <w:b/>
                <w:sz w:val="22"/>
              </w:rPr>
            </w:pPr>
            <w:r w:rsidRPr="00B0295C">
              <w:rPr>
                <w:rFonts w:asciiTheme="minorHAnsi" w:hAnsiTheme="minorHAnsi" w:cstheme="minorHAnsi"/>
                <w:b/>
                <w:sz w:val="22"/>
              </w:rPr>
              <w:t>Disclaimer</w:t>
            </w:r>
          </w:p>
        </w:tc>
      </w:tr>
      <w:tr w:rsidR="00251830" w:rsidTr="00B0295C">
        <w:tc>
          <w:tcPr>
            <w:tcW w:w="10260" w:type="dxa"/>
            <w:shd w:val="clear" w:color="auto" w:fill="F2F2F2"/>
          </w:tcPr>
          <w:p w:rsidR="00B0295C" w:rsidRPr="00B0295C" w:rsidRDefault="000178B1" w:rsidP="00B0295C">
            <w:pPr>
              <w:pStyle w:val="Footer"/>
              <w:numPr>
                <w:ilvl w:val="0"/>
                <w:numId w:val="32"/>
              </w:numPr>
              <w:tabs>
                <w:tab w:val="clear" w:pos="4680"/>
                <w:tab w:val="clear" w:pos="9360"/>
              </w:tabs>
              <w:spacing w:before="60" w:after="60"/>
              <w:ind w:left="360"/>
              <w:rPr>
                <w:rFonts w:asciiTheme="minorHAnsi" w:hAnsiTheme="minorHAnsi" w:cstheme="minorHAnsi"/>
                <w:sz w:val="22"/>
              </w:rPr>
            </w:pPr>
            <w:r w:rsidRPr="00B0295C">
              <w:rPr>
                <w:rFonts w:asciiTheme="minorHAnsi" w:hAnsiTheme="minorHAnsi" w:cstheme="minorHAnsi"/>
                <w:sz w:val="22"/>
              </w:rPr>
              <w:t>A statement warning that, in the event of a conflict between the SPD and the plan document, the plan document controls</w:t>
            </w:r>
          </w:p>
        </w:tc>
      </w:tr>
    </w:tbl>
    <w:p w:rsidR="00EB2B39" w:rsidRPr="00B0295C" w:rsidRDefault="000178B1" w:rsidP="00EB2B39">
      <w:pPr>
        <w:pStyle w:val="BodyText"/>
        <w:rPr>
          <w:rFonts w:asciiTheme="minorHAnsi" w:hAnsiTheme="minorHAnsi" w:cstheme="minorHAnsi"/>
          <w:szCs w:val="22"/>
        </w:rPr>
      </w:pPr>
    </w:p>
    <w:sectPr w:rsidR="00EB2B39" w:rsidRPr="00B0295C" w:rsidSect="007414C5">
      <w:type w:val="continuous"/>
      <w:pgSz w:w="12240" w:h="15840"/>
      <w:pgMar w:top="1627" w:right="144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8B1" w:rsidRDefault="000178B1">
      <w:pPr>
        <w:spacing w:after="0" w:line="240" w:lineRule="auto"/>
      </w:pPr>
      <w:r>
        <w:separator/>
      </w:r>
    </w:p>
  </w:endnote>
  <w:endnote w:type="continuationSeparator" w:id="0">
    <w:p w:rsidR="000178B1" w:rsidRDefault="0001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696" w:rsidRDefault="000178B1">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-86995</wp:posOffset>
              </wp:positionH>
              <wp:positionV relativeFrom="paragraph">
                <wp:posOffset>-360045</wp:posOffset>
              </wp:positionV>
              <wp:extent cx="4387215" cy="55626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4387215" cy="556260"/>
                      </a:xfrm>
                      <a:prstGeom prst="rect">
                        <a:avLst/>
                      </a:prstGeom>
                      <a:noFill/>
                      <a:ln w="6350">
                        <a:noFill/>
                      </a:ln>
                    </wps:spPr>
                    <wps:txbx>
                      <w:txbxContent>
                        <w:p w:rsidR="0084048C" w:rsidRPr="00947E11" w:rsidRDefault="000178B1" w:rsidP="0084048C">
                          <w:pPr>
                            <w:pStyle w:val="Disclaimer"/>
                            <w:rPr>
                              <w:szCs w:val="16"/>
                            </w:rPr>
                          </w:pPr>
                          <w:r w:rsidRPr="00947E11">
                            <w:rPr>
                              <w:szCs w:val="16"/>
                            </w:rPr>
                            <w:t xml:space="preserve">This </w:t>
                          </w:r>
                          <w:r>
                            <w:rPr>
                              <w:szCs w:val="16"/>
                            </w:rPr>
                            <w:t>Compliance</w:t>
                          </w:r>
                          <w:r w:rsidRPr="00947E11">
                            <w:rPr>
                              <w:szCs w:val="16"/>
                            </w:rPr>
                            <w:t xml:space="preserve"> Overview is not intended to be exhaustive nor should any discussion or opinions be construed as legal advice. Readers should contact </w:t>
                          </w:r>
                          <w:r>
                            <w:rPr>
                              <w:szCs w:val="16"/>
                            </w:rPr>
                            <w:t xml:space="preserve">legal counsel for legal </w:t>
                          </w:r>
                          <w:r>
                            <w:rPr>
                              <w:szCs w:val="16"/>
                            </w:rPr>
                            <w:t>advice.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81" o:spid="_x0000_s2050" type="#_x0000_t202" style="height:43.8pt;margin-left:-6.85pt;margin-top:-28.35pt;mso-height-percent:0;mso-height-relative:margin;mso-width-percent:0;mso-width-relative:margin;mso-wrap-distance-bottom:0;mso-wrap-distance-left:9pt;mso-wrap-distance-right:9pt;mso-wrap-distance-top:0;mso-wrap-style:square;position:absolute;v-text-anchor:top;visibility:visible;width:345.45pt;z-index:251659264" filled="f" stroked="f" strokeweight="0.5pt">
              <v:path arrowok="t" textboxrect="0,0,21600,21600"/>
              <v:textbox>
                <w:txbxContent>
                  <w:p w:rsidR="0084048C" w:rsidRPr="00947E11" w:rsidP="0084048C">
                    <w:pPr>
                      <w:pStyle w:val="Disclaimer"/>
                      <w:rPr>
                        <w:szCs w:val="16"/>
                      </w:rPr>
                    </w:pPr>
                    <w:r w:rsidRPr="00947E11">
                      <w:rPr>
                        <w:szCs w:val="16"/>
                      </w:rPr>
                      <w:t xml:space="preserve">This </w:t>
                    </w:r>
                    <w:r w:rsidR="00E00FF6">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79" w:rsidRPr="00F72D06" w:rsidRDefault="000178B1" w:rsidP="005714F1">
    <w:pPr>
      <w:pStyle w:val="Footer"/>
      <w:spacing w:before="40"/>
      <w:jc w:val="right"/>
    </w:pPr>
    <w:r w:rsidRPr="00F72D06">
      <w:fldChar w:fldCharType="begin"/>
    </w:r>
    <w:r w:rsidRPr="00F72D06">
      <w:instrText xml:space="preserve"> PAGE   \* MERGEFORMAT </w:instrText>
    </w:r>
    <w:r w:rsidRPr="00F72D06">
      <w:fldChar w:fldCharType="separate"/>
    </w:r>
    <w:r w:rsidR="00961BBE">
      <w:rPr>
        <w:noProof/>
      </w:rPr>
      <w:t>11</w:t>
    </w:r>
    <w:r w:rsidRPr="00F72D06">
      <w:rPr>
        <w:noProof/>
      </w:rPr>
      <w:fldChar w:fldCharType="end"/>
    </w:r>
  </w:p>
  <w:p w:rsidR="007B4E79" w:rsidRPr="00817EEE" w:rsidRDefault="000178B1" w:rsidP="00F06BC9">
    <w:pPr>
      <w:pStyle w:val="Disclaimer"/>
    </w:pPr>
    <w:r>
      <w:t>This Compliance</w:t>
    </w:r>
    <w:r w:rsidRPr="00817EEE">
      <w:t xml:space="preserve"> Overview is not intended to be </w:t>
    </w:r>
    <w:r w:rsidRPr="00817EEE">
      <w:t xml:space="preserve">exhaustive nor </w:t>
    </w:r>
    <w:r w:rsidRPr="00F06BC9">
      <w:t>should</w:t>
    </w:r>
    <w:r w:rsidRPr="00817EEE">
      <w:t xml:space="preserve"> any discussion or opinions be construed as legal advice.</w:t>
    </w:r>
    <w:r w:rsidRPr="00817EEE">
      <w:t xml:space="preserve"> </w:t>
    </w:r>
    <w:r w:rsidRPr="00817EEE">
      <w:t>Readers should contact legal counsel for legal advice.</w:t>
    </w:r>
  </w:p>
  <w:p w:rsidR="002364F9" w:rsidRDefault="000178B1" w:rsidP="00F06BC9">
    <w:pPr>
      <w:pStyle w:val="Disclaimer"/>
    </w:pPr>
    <w:r w:rsidRPr="00817EEE">
      <w:t xml:space="preserve">© </w:t>
    </w:r>
    <w:r>
      <w:t>2002, 2008, 2010-2013, 2015-2017</w:t>
    </w:r>
    <w:r w:rsidRPr="00817EEE">
      <w:t> </w:t>
    </w:r>
    <w:r w:rsidRPr="00F06BC9">
      <w:t>Zywave</w:t>
    </w:r>
    <w:r w:rsidRPr="00817EEE">
      <w:t>, Inc. All rights reserved.</w:t>
    </w:r>
    <w:r>
      <w:t xml:space="preserve"> EM 7/17</w:t>
    </w:r>
  </w:p>
  <w:p w:rsidR="0091138D" w:rsidRPr="00817EEE" w:rsidRDefault="000178B1" w:rsidP="00817EEE">
    <w:pPr>
      <w:pStyle w:val="Disclaim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8B1" w:rsidRDefault="000178B1">
      <w:pPr>
        <w:spacing w:after="0" w:line="240" w:lineRule="auto"/>
      </w:pPr>
      <w:r>
        <w:separator/>
      </w:r>
    </w:p>
  </w:footnote>
  <w:footnote w:type="continuationSeparator" w:id="0">
    <w:p w:rsidR="000178B1" w:rsidRDefault="00017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D9" w:rsidRDefault="000178B1">
    <w:pPr>
      <w:pStyle w:val="Header"/>
    </w:pPr>
    <w:r>
      <w:rPr>
        <w:noProof/>
      </w:rPr>
      <mc:AlternateContent>
        <mc:Choice Requires="wps">
          <w:drawing>
            <wp:anchor distT="0" distB="0" distL="114298" distR="114298" simplePos="0" relativeHeight="251662336" behindDoc="0" locked="0" layoutInCell="1" allowOverlap="1">
              <wp:simplePos x="0" y="0"/>
              <wp:positionH relativeFrom="column">
                <wp:posOffset>4386579</wp:posOffset>
              </wp:positionH>
              <wp:positionV relativeFrom="paragraph">
                <wp:posOffset>2667000</wp:posOffset>
              </wp:positionV>
              <wp:extent cx="0" cy="5715000"/>
              <wp:effectExtent l="0" t="0" r="0" b="0"/>
              <wp:wrapNone/>
              <wp:docPr id="120" name="Straight Connector 120"/>
              <wp:cNvGraphicFramePr/>
              <a:graphic xmlns:a="http://schemas.openxmlformats.org/drawingml/2006/main">
                <a:graphicData uri="http://schemas.microsoft.com/office/word/2010/wordprocessingShape">
                  <wps:wsp>
                    <wps:cNvCnPr/>
                    <wps:spPr>
                      <a:xfrm flipH="1">
                        <a:off x="0" y="0"/>
                        <a:ext cx="0" cy="5715000"/>
                      </a:xfrm>
                      <a:prstGeom prst="line">
                        <a:avLst/>
                      </a:prstGeom>
                      <a:noFill/>
                      <a:ln w="19050" cap="rnd">
                        <a:solidFill>
                          <a:srgbClr val="4884A2"/>
                        </a:solidFill>
                        <a:prstDash val="sysDot"/>
                        <a:miter lim="800000"/>
                      </a:ln>
                    </wps:spPr>
                    <wps:bodyPr/>
                  </wps:wsp>
                </a:graphicData>
              </a:graphic>
            </wp:anchor>
          </w:drawing>
        </mc:Choice>
        <mc:Fallback>
          <w:pict>
            <v:line id="Straight Connector 120" o:spid="_x0000_s2049" style="flip:x;mso-height-percent:0;mso-height-relative:margin;mso-width-percent:0;mso-width-relative:margin;mso-wrap-distance-bottom:0;mso-wrap-distance-left:9pt;mso-wrap-distance-right:9pt;mso-wrap-distance-top:0;mso-wrap-style:square;position:absolute;visibility:visible;z-index:251663360" from="345.4pt,210pt" to="345.4pt,660pt" strokecolor="#4884a2" strokeweight="1.5pt">
              <v:stroke joinstyle="miter" dashstyle="1 1" endcap="round"/>
            </v:line>
          </w:pict>
        </mc:Fallback>
      </mc:AlternateContent>
    </w:r>
    <w:r>
      <w:rPr>
        <w:noProof/>
      </w:rPr>
      <w:drawing>
        <wp:anchor distT="0" distB="0" distL="114300" distR="114300" simplePos="0" relativeHeight="251660288" behindDoc="1" locked="0" layoutInCell="1" allowOverlap="1">
          <wp:simplePos x="0" y="0"/>
          <wp:positionH relativeFrom="margin">
            <wp:posOffset>-457200</wp:posOffset>
          </wp:positionH>
          <wp:positionV relativeFrom="margin">
            <wp:posOffset>-2792095</wp:posOffset>
          </wp:positionV>
          <wp:extent cx="7772400" cy="2886075"/>
          <wp:effectExtent l="0" t="0" r="0" b="0"/>
          <wp:wrapNone/>
          <wp:docPr id="5" name="Picture 17" descr="C:\Users\singleton\Desktop\Projects\Compliabce Bulletin_Leg Brief_Reg Update\Compliance Bulletin\ACA Overview_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ingleton\Desktop\Projects\Compliabce Bulletin_Leg Brief_Reg Update\Compliance Bulletin\ACA Overview_B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28860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53" w:rsidRDefault="000178B1">
    <w:pPr>
      <w:pStyle w:val="Header"/>
      <w:rPr>
        <w:noProof/>
      </w:rPr>
    </w:pPr>
    <w:r>
      <w:rPr>
        <w:noProof/>
      </w:rPr>
      <w:drawing>
        <wp:anchor distT="0" distB="0" distL="114300" distR="114300" simplePos="0" relativeHeight="251661312" behindDoc="1" locked="0" layoutInCell="1" allowOverlap="1">
          <wp:simplePos x="0" y="0"/>
          <wp:positionH relativeFrom="margin">
            <wp:posOffset>-914400</wp:posOffset>
          </wp:positionH>
          <wp:positionV relativeFrom="margin">
            <wp:posOffset>-1023620</wp:posOffset>
          </wp:positionV>
          <wp:extent cx="7772400" cy="871220"/>
          <wp:effectExtent l="0" t="0" r="0" b="0"/>
          <wp:wrapNone/>
          <wp:docPr id="12" name="Picture 4" descr="C:\Users\singleton\Desktop\Projects\Compliabce Bulletin_Leg Brief_Reg Update\Compliance Bulletin\ACA Overview_B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ngleton\Desktop\Projects\Compliabce Bulletin_Leg Brief_Reg Update\Compliance Bulletin\ACA Overview_BE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871220"/>
                  </a:xfrm>
                  <a:prstGeom prst="rect">
                    <a:avLst/>
                  </a:prstGeom>
                  <a:noFill/>
                  <a:ln>
                    <a:noFill/>
                  </a:ln>
                </pic:spPr>
              </pic:pic>
            </a:graphicData>
          </a:graphic>
        </wp:anchor>
      </w:drawing>
    </w:r>
  </w:p>
  <w:p w:rsidR="00D16053" w:rsidRDefault="0001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D6A"/>
    <w:multiLevelType w:val="hybridMultilevel"/>
    <w:tmpl w:val="CEFA0336"/>
    <w:lvl w:ilvl="0" w:tplc="712E8DF2">
      <w:start w:val="1"/>
      <w:numFmt w:val="bullet"/>
      <w:lvlText w:val=""/>
      <w:lvlJc w:val="left"/>
      <w:pPr>
        <w:ind w:left="720" w:hanging="360"/>
      </w:pPr>
      <w:rPr>
        <w:rFonts w:ascii="Wingdings" w:hAnsi="Wingdings" w:hint="default"/>
        <w:sz w:val="16"/>
      </w:rPr>
    </w:lvl>
    <w:lvl w:ilvl="1" w:tplc="00AC43DC" w:tentative="1">
      <w:start w:val="1"/>
      <w:numFmt w:val="bullet"/>
      <w:lvlText w:val="o"/>
      <w:lvlJc w:val="left"/>
      <w:pPr>
        <w:ind w:left="1440" w:hanging="360"/>
      </w:pPr>
      <w:rPr>
        <w:rFonts w:ascii="Courier New" w:hAnsi="Courier New" w:cs="Courier New" w:hint="default"/>
      </w:rPr>
    </w:lvl>
    <w:lvl w:ilvl="2" w:tplc="E43A0546" w:tentative="1">
      <w:start w:val="1"/>
      <w:numFmt w:val="bullet"/>
      <w:lvlText w:val=""/>
      <w:lvlJc w:val="left"/>
      <w:pPr>
        <w:ind w:left="2160" w:hanging="360"/>
      </w:pPr>
      <w:rPr>
        <w:rFonts w:ascii="Wingdings" w:hAnsi="Wingdings" w:hint="default"/>
      </w:rPr>
    </w:lvl>
    <w:lvl w:ilvl="3" w:tplc="A3128802" w:tentative="1">
      <w:start w:val="1"/>
      <w:numFmt w:val="bullet"/>
      <w:lvlText w:val=""/>
      <w:lvlJc w:val="left"/>
      <w:pPr>
        <w:ind w:left="2880" w:hanging="360"/>
      </w:pPr>
      <w:rPr>
        <w:rFonts w:ascii="Symbol" w:hAnsi="Symbol" w:hint="default"/>
      </w:rPr>
    </w:lvl>
    <w:lvl w:ilvl="4" w:tplc="525850E0" w:tentative="1">
      <w:start w:val="1"/>
      <w:numFmt w:val="bullet"/>
      <w:lvlText w:val="o"/>
      <w:lvlJc w:val="left"/>
      <w:pPr>
        <w:ind w:left="3600" w:hanging="360"/>
      </w:pPr>
      <w:rPr>
        <w:rFonts w:ascii="Courier New" w:hAnsi="Courier New" w:cs="Courier New" w:hint="default"/>
      </w:rPr>
    </w:lvl>
    <w:lvl w:ilvl="5" w:tplc="15C44A0A" w:tentative="1">
      <w:start w:val="1"/>
      <w:numFmt w:val="bullet"/>
      <w:lvlText w:val=""/>
      <w:lvlJc w:val="left"/>
      <w:pPr>
        <w:ind w:left="4320" w:hanging="360"/>
      </w:pPr>
      <w:rPr>
        <w:rFonts w:ascii="Wingdings" w:hAnsi="Wingdings" w:hint="default"/>
      </w:rPr>
    </w:lvl>
    <w:lvl w:ilvl="6" w:tplc="DF52ED62" w:tentative="1">
      <w:start w:val="1"/>
      <w:numFmt w:val="bullet"/>
      <w:lvlText w:val=""/>
      <w:lvlJc w:val="left"/>
      <w:pPr>
        <w:ind w:left="5040" w:hanging="360"/>
      </w:pPr>
      <w:rPr>
        <w:rFonts w:ascii="Symbol" w:hAnsi="Symbol" w:hint="default"/>
      </w:rPr>
    </w:lvl>
    <w:lvl w:ilvl="7" w:tplc="8890A32A" w:tentative="1">
      <w:start w:val="1"/>
      <w:numFmt w:val="bullet"/>
      <w:lvlText w:val="o"/>
      <w:lvlJc w:val="left"/>
      <w:pPr>
        <w:ind w:left="5760" w:hanging="360"/>
      </w:pPr>
      <w:rPr>
        <w:rFonts w:ascii="Courier New" w:hAnsi="Courier New" w:cs="Courier New" w:hint="default"/>
      </w:rPr>
    </w:lvl>
    <w:lvl w:ilvl="8" w:tplc="EB3E71AC" w:tentative="1">
      <w:start w:val="1"/>
      <w:numFmt w:val="bullet"/>
      <w:lvlText w:val=""/>
      <w:lvlJc w:val="left"/>
      <w:pPr>
        <w:ind w:left="6480" w:hanging="360"/>
      </w:pPr>
      <w:rPr>
        <w:rFonts w:ascii="Wingdings" w:hAnsi="Wingdings" w:hint="default"/>
      </w:rPr>
    </w:lvl>
  </w:abstractNum>
  <w:abstractNum w:abstractNumId="1" w15:restartNumberingAfterBreak="0">
    <w:nsid w:val="179F6488"/>
    <w:multiLevelType w:val="hybridMultilevel"/>
    <w:tmpl w:val="4A98104E"/>
    <w:lvl w:ilvl="0" w:tplc="E634FE6A">
      <w:start w:val="1"/>
      <w:numFmt w:val="bullet"/>
      <w:pStyle w:val="T-BulletList"/>
      <w:lvlText w:val=""/>
      <w:lvlJc w:val="left"/>
      <w:pPr>
        <w:ind w:left="288" w:hanging="216"/>
      </w:pPr>
      <w:rPr>
        <w:rFonts w:ascii="Symbol" w:hAnsi="Symbol" w:hint="default"/>
        <w:sz w:val="20"/>
        <w:szCs w:val="20"/>
      </w:rPr>
    </w:lvl>
    <w:lvl w:ilvl="1" w:tplc="B26C6260">
      <w:start w:val="1"/>
      <w:numFmt w:val="bullet"/>
      <w:lvlText w:val="o"/>
      <w:lvlJc w:val="left"/>
      <w:pPr>
        <w:ind w:left="576" w:hanging="216"/>
      </w:pPr>
      <w:rPr>
        <w:rFonts w:ascii="Courier New" w:hAnsi="Courier New" w:hint="default"/>
      </w:rPr>
    </w:lvl>
    <w:lvl w:ilvl="2" w:tplc="9432DDA6">
      <w:start w:val="1"/>
      <w:numFmt w:val="bullet"/>
      <w:lvlText w:val=""/>
      <w:lvlJc w:val="left"/>
      <w:pPr>
        <w:ind w:left="1008" w:hanging="288"/>
      </w:pPr>
      <w:rPr>
        <w:rFonts w:ascii="Wingdings" w:hAnsi="Wingdings" w:hint="default"/>
      </w:rPr>
    </w:lvl>
    <w:lvl w:ilvl="3" w:tplc="B9441690" w:tentative="1">
      <w:start w:val="1"/>
      <w:numFmt w:val="bullet"/>
      <w:lvlText w:val=""/>
      <w:lvlJc w:val="left"/>
      <w:pPr>
        <w:ind w:left="2880" w:hanging="360"/>
      </w:pPr>
      <w:rPr>
        <w:rFonts w:ascii="Symbol" w:hAnsi="Symbol" w:hint="default"/>
      </w:rPr>
    </w:lvl>
    <w:lvl w:ilvl="4" w:tplc="E196DF4A" w:tentative="1">
      <w:start w:val="1"/>
      <w:numFmt w:val="bullet"/>
      <w:lvlText w:val="o"/>
      <w:lvlJc w:val="left"/>
      <w:pPr>
        <w:ind w:left="3600" w:hanging="360"/>
      </w:pPr>
      <w:rPr>
        <w:rFonts w:ascii="Courier New" w:hAnsi="Courier New" w:cs="Courier New" w:hint="default"/>
      </w:rPr>
    </w:lvl>
    <w:lvl w:ilvl="5" w:tplc="C4D6E174" w:tentative="1">
      <w:start w:val="1"/>
      <w:numFmt w:val="bullet"/>
      <w:lvlText w:val=""/>
      <w:lvlJc w:val="left"/>
      <w:pPr>
        <w:ind w:left="4320" w:hanging="360"/>
      </w:pPr>
      <w:rPr>
        <w:rFonts w:ascii="Wingdings" w:hAnsi="Wingdings" w:hint="default"/>
      </w:rPr>
    </w:lvl>
    <w:lvl w:ilvl="6" w:tplc="E4567B2A" w:tentative="1">
      <w:start w:val="1"/>
      <w:numFmt w:val="bullet"/>
      <w:lvlText w:val=""/>
      <w:lvlJc w:val="left"/>
      <w:pPr>
        <w:ind w:left="5040" w:hanging="360"/>
      </w:pPr>
      <w:rPr>
        <w:rFonts w:ascii="Symbol" w:hAnsi="Symbol" w:hint="default"/>
      </w:rPr>
    </w:lvl>
    <w:lvl w:ilvl="7" w:tplc="A0EAE0F0" w:tentative="1">
      <w:start w:val="1"/>
      <w:numFmt w:val="bullet"/>
      <w:lvlText w:val="o"/>
      <w:lvlJc w:val="left"/>
      <w:pPr>
        <w:ind w:left="5760" w:hanging="360"/>
      </w:pPr>
      <w:rPr>
        <w:rFonts w:ascii="Courier New" w:hAnsi="Courier New" w:cs="Courier New" w:hint="default"/>
      </w:rPr>
    </w:lvl>
    <w:lvl w:ilvl="8" w:tplc="FD1CC848" w:tentative="1">
      <w:start w:val="1"/>
      <w:numFmt w:val="bullet"/>
      <w:lvlText w:val=""/>
      <w:lvlJc w:val="left"/>
      <w:pPr>
        <w:ind w:left="6480" w:hanging="360"/>
      </w:pPr>
      <w:rPr>
        <w:rFonts w:ascii="Wingdings" w:hAnsi="Wingdings" w:hint="default"/>
      </w:rPr>
    </w:lvl>
  </w:abstractNum>
  <w:abstractNum w:abstractNumId="2" w15:restartNumberingAfterBreak="0">
    <w:nsid w:val="182F09CF"/>
    <w:multiLevelType w:val="hybridMultilevel"/>
    <w:tmpl w:val="02DC2E2C"/>
    <w:lvl w:ilvl="0" w:tplc="50BE0266">
      <w:start w:val="1"/>
      <w:numFmt w:val="bullet"/>
      <w:lvlText w:val=""/>
      <w:lvlJc w:val="left"/>
      <w:pPr>
        <w:ind w:left="720" w:hanging="360"/>
      </w:pPr>
      <w:rPr>
        <w:rFonts w:ascii="Wingdings" w:hAnsi="Wingdings" w:hint="default"/>
      </w:rPr>
    </w:lvl>
    <w:lvl w:ilvl="1" w:tplc="45E857BA" w:tentative="1">
      <w:start w:val="1"/>
      <w:numFmt w:val="bullet"/>
      <w:lvlText w:val="o"/>
      <w:lvlJc w:val="left"/>
      <w:pPr>
        <w:ind w:left="1440" w:hanging="360"/>
      </w:pPr>
      <w:rPr>
        <w:rFonts w:ascii="Courier New" w:hAnsi="Courier New" w:cs="Courier New" w:hint="default"/>
      </w:rPr>
    </w:lvl>
    <w:lvl w:ilvl="2" w:tplc="F93E704A" w:tentative="1">
      <w:start w:val="1"/>
      <w:numFmt w:val="bullet"/>
      <w:lvlText w:val=""/>
      <w:lvlJc w:val="left"/>
      <w:pPr>
        <w:ind w:left="2160" w:hanging="360"/>
      </w:pPr>
      <w:rPr>
        <w:rFonts w:ascii="Wingdings" w:hAnsi="Wingdings" w:hint="default"/>
      </w:rPr>
    </w:lvl>
    <w:lvl w:ilvl="3" w:tplc="4B44E41E" w:tentative="1">
      <w:start w:val="1"/>
      <w:numFmt w:val="bullet"/>
      <w:lvlText w:val=""/>
      <w:lvlJc w:val="left"/>
      <w:pPr>
        <w:ind w:left="2880" w:hanging="360"/>
      </w:pPr>
      <w:rPr>
        <w:rFonts w:ascii="Symbol" w:hAnsi="Symbol" w:hint="default"/>
      </w:rPr>
    </w:lvl>
    <w:lvl w:ilvl="4" w:tplc="E7F89CBA" w:tentative="1">
      <w:start w:val="1"/>
      <w:numFmt w:val="bullet"/>
      <w:lvlText w:val="o"/>
      <w:lvlJc w:val="left"/>
      <w:pPr>
        <w:ind w:left="3600" w:hanging="360"/>
      </w:pPr>
      <w:rPr>
        <w:rFonts w:ascii="Courier New" w:hAnsi="Courier New" w:cs="Courier New" w:hint="default"/>
      </w:rPr>
    </w:lvl>
    <w:lvl w:ilvl="5" w:tplc="0158E51A" w:tentative="1">
      <w:start w:val="1"/>
      <w:numFmt w:val="bullet"/>
      <w:lvlText w:val=""/>
      <w:lvlJc w:val="left"/>
      <w:pPr>
        <w:ind w:left="4320" w:hanging="360"/>
      </w:pPr>
      <w:rPr>
        <w:rFonts w:ascii="Wingdings" w:hAnsi="Wingdings" w:hint="default"/>
      </w:rPr>
    </w:lvl>
    <w:lvl w:ilvl="6" w:tplc="AB52E57C" w:tentative="1">
      <w:start w:val="1"/>
      <w:numFmt w:val="bullet"/>
      <w:lvlText w:val=""/>
      <w:lvlJc w:val="left"/>
      <w:pPr>
        <w:ind w:left="5040" w:hanging="360"/>
      </w:pPr>
      <w:rPr>
        <w:rFonts w:ascii="Symbol" w:hAnsi="Symbol" w:hint="default"/>
      </w:rPr>
    </w:lvl>
    <w:lvl w:ilvl="7" w:tplc="4A7860F8" w:tentative="1">
      <w:start w:val="1"/>
      <w:numFmt w:val="bullet"/>
      <w:lvlText w:val="o"/>
      <w:lvlJc w:val="left"/>
      <w:pPr>
        <w:ind w:left="5760" w:hanging="360"/>
      </w:pPr>
      <w:rPr>
        <w:rFonts w:ascii="Courier New" w:hAnsi="Courier New" w:cs="Courier New" w:hint="default"/>
      </w:rPr>
    </w:lvl>
    <w:lvl w:ilvl="8" w:tplc="71CABC74" w:tentative="1">
      <w:start w:val="1"/>
      <w:numFmt w:val="bullet"/>
      <w:lvlText w:val=""/>
      <w:lvlJc w:val="left"/>
      <w:pPr>
        <w:ind w:left="6480" w:hanging="360"/>
      </w:pPr>
      <w:rPr>
        <w:rFonts w:ascii="Wingdings" w:hAnsi="Wingdings" w:hint="default"/>
      </w:rPr>
    </w:lvl>
  </w:abstractNum>
  <w:abstractNum w:abstractNumId="3" w15:restartNumberingAfterBreak="0">
    <w:nsid w:val="19016FF9"/>
    <w:multiLevelType w:val="hybridMultilevel"/>
    <w:tmpl w:val="EE446346"/>
    <w:lvl w:ilvl="0" w:tplc="BEA201B4">
      <w:start w:val="1"/>
      <w:numFmt w:val="bullet"/>
      <w:lvlText w:val=""/>
      <w:lvlJc w:val="left"/>
      <w:pPr>
        <w:ind w:left="720" w:hanging="360"/>
      </w:pPr>
      <w:rPr>
        <w:rFonts w:ascii="Wingdings" w:hAnsi="Wingdings" w:hint="default"/>
        <w:sz w:val="16"/>
      </w:rPr>
    </w:lvl>
    <w:lvl w:ilvl="1" w:tplc="D3E82470">
      <w:start w:val="1"/>
      <w:numFmt w:val="bullet"/>
      <w:lvlText w:val="o"/>
      <w:lvlJc w:val="left"/>
      <w:pPr>
        <w:ind w:left="1440" w:hanging="360"/>
      </w:pPr>
      <w:rPr>
        <w:rFonts w:ascii="Courier New" w:hAnsi="Courier New" w:cs="Courier New" w:hint="default"/>
      </w:rPr>
    </w:lvl>
    <w:lvl w:ilvl="2" w:tplc="23666CD0" w:tentative="1">
      <w:start w:val="1"/>
      <w:numFmt w:val="bullet"/>
      <w:lvlText w:val=""/>
      <w:lvlJc w:val="left"/>
      <w:pPr>
        <w:ind w:left="2160" w:hanging="360"/>
      </w:pPr>
      <w:rPr>
        <w:rFonts w:ascii="Wingdings" w:hAnsi="Wingdings" w:hint="default"/>
      </w:rPr>
    </w:lvl>
    <w:lvl w:ilvl="3" w:tplc="0A64E5F8" w:tentative="1">
      <w:start w:val="1"/>
      <w:numFmt w:val="bullet"/>
      <w:lvlText w:val=""/>
      <w:lvlJc w:val="left"/>
      <w:pPr>
        <w:ind w:left="2880" w:hanging="360"/>
      </w:pPr>
      <w:rPr>
        <w:rFonts w:ascii="Symbol" w:hAnsi="Symbol" w:hint="default"/>
      </w:rPr>
    </w:lvl>
    <w:lvl w:ilvl="4" w:tplc="1AA0CB66" w:tentative="1">
      <w:start w:val="1"/>
      <w:numFmt w:val="bullet"/>
      <w:lvlText w:val="o"/>
      <w:lvlJc w:val="left"/>
      <w:pPr>
        <w:ind w:left="3600" w:hanging="360"/>
      </w:pPr>
      <w:rPr>
        <w:rFonts w:ascii="Courier New" w:hAnsi="Courier New" w:cs="Courier New" w:hint="default"/>
      </w:rPr>
    </w:lvl>
    <w:lvl w:ilvl="5" w:tplc="C0D2C8C4" w:tentative="1">
      <w:start w:val="1"/>
      <w:numFmt w:val="bullet"/>
      <w:lvlText w:val=""/>
      <w:lvlJc w:val="left"/>
      <w:pPr>
        <w:ind w:left="4320" w:hanging="360"/>
      </w:pPr>
      <w:rPr>
        <w:rFonts w:ascii="Wingdings" w:hAnsi="Wingdings" w:hint="default"/>
      </w:rPr>
    </w:lvl>
    <w:lvl w:ilvl="6" w:tplc="AB3EF228" w:tentative="1">
      <w:start w:val="1"/>
      <w:numFmt w:val="bullet"/>
      <w:lvlText w:val=""/>
      <w:lvlJc w:val="left"/>
      <w:pPr>
        <w:ind w:left="5040" w:hanging="360"/>
      </w:pPr>
      <w:rPr>
        <w:rFonts w:ascii="Symbol" w:hAnsi="Symbol" w:hint="default"/>
      </w:rPr>
    </w:lvl>
    <w:lvl w:ilvl="7" w:tplc="8BF6CB26" w:tentative="1">
      <w:start w:val="1"/>
      <w:numFmt w:val="bullet"/>
      <w:lvlText w:val="o"/>
      <w:lvlJc w:val="left"/>
      <w:pPr>
        <w:ind w:left="5760" w:hanging="360"/>
      </w:pPr>
      <w:rPr>
        <w:rFonts w:ascii="Courier New" w:hAnsi="Courier New" w:cs="Courier New" w:hint="default"/>
      </w:rPr>
    </w:lvl>
    <w:lvl w:ilvl="8" w:tplc="112644FE" w:tentative="1">
      <w:start w:val="1"/>
      <w:numFmt w:val="bullet"/>
      <w:lvlText w:val=""/>
      <w:lvlJc w:val="left"/>
      <w:pPr>
        <w:ind w:left="6480" w:hanging="360"/>
      </w:pPr>
      <w:rPr>
        <w:rFonts w:ascii="Wingdings" w:hAnsi="Wingdings" w:hint="default"/>
      </w:rPr>
    </w:lvl>
  </w:abstractNum>
  <w:abstractNum w:abstractNumId="4" w15:restartNumberingAfterBreak="0">
    <w:nsid w:val="1CBC071E"/>
    <w:multiLevelType w:val="hybridMultilevel"/>
    <w:tmpl w:val="6DC24E6C"/>
    <w:lvl w:ilvl="0" w:tplc="FFAC2ACC">
      <w:start w:val="1"/>
      <w:numFmt w:val="bullet"/>
      <w:lvlText w:val=""/>
      <w:lvlJc w:val="left"/>
      <w:pPr>
        <w:ind w:left="720" w:hanging="360"/>
      </w:pPr>
      <w:rPr>
        <w:rFonts w:ascii="Symbol" w:hAnsi="Symbol" w:hint="default"/>
      </w:rPr>
    </w:lvl>
    <w:lvl w:ilvl="1" w:tplc="38A0C63E" w:tentative="1">
      <w:start w:val="1"/>
      <w:numFmt w:val="bullet"/>
      <w:lvlText w:val="o"/>
      <w:lvlJc w:val="left"/>
      <w:pPr>
        <w:ind w:left="1440" w:hanging="360"/>
      </w:pPr>
      <w:rPr>
        <w:rFonts w:ascii="Courier New" w:hAnsi="Courier New" w:cs="Courier New" w:hint="default"/>
      </w:rPr>
    </w:lvl>
    <w:lvl w:ilvl="2" w:tplc="D49E46D4" w:tentative="1">
      <w:start w:val="1"/>
      <w:numFmt w:val="bullet"/>
      <w:lvlText w:val=""/>
      <w:lvlJc w:val="left"/>
      <w:pPr>
        <w:ind w:left="2160" w:hanging="360"/>
      </w:pPr>
      <w:rPr>
        <w:rFonts w:ascii="Wingdings" w:hAnsi="Wingdings" w:hint="default"/>
      </w:rPr>
    </w:lvl>
    <w:lvl w:ilvl="3" w:tplc="971C71F0" w:tentative="1">
      <w:start w:val="1"/>
      <w:numFmt w:val="bullet"/>
      <w:lvlText w:val=""/>
      <w:lvlJc w:val="left"/>
      <w:pPr>
        <w:ind w:left="2880" w:hanging="360"/>
      </w:pPr>
      <w:rPr>
        <w:rFonts w:ascii="Symbol" w:hAnsi="Symbol" w:hint="default"/>
      </w:rPr>
    </w:lvl>
    <w:lvl w:ilvl="4" w:tplc="A40CF57C" w:tentative="1">
      <w:start w:val="1"/>
      <w:numFmt w:val="bullet"/>
      <w:lvlText w:val="o"/>
      <w:lvlJc w:val="left"/>
      <w:pPr>
        <w:ind w:left="3600" w:hanging="360"/>
      </w:pPr>
      <w:rPr>
        <w:rFonts w:ascii="Courier New" w:hAnsi="Courier New" w:cs="Courier New" w:hint="default"/>
      </w:rPr>
    </w:lvl>
    <w:lvl w:ilvl="5" w:tplc="266A074E" w:tentative="1">
      <w:start w:val="1"/>
      <w:numFmt w:val="bullet"/>
      <w:lvlText w:val=""/>
      <w:lvlJc w:val="left"/>
      <w:pPr>
        <w:ind w:left="4320" w:hanging="360"/>
      </w:pPr>
      <w:rPr>
        <w:rFonts w:ascii="Wingdings" w:hAnsi="Wingdings" w:hint="default"/>
      </w:rPr>
    </w:lvl>
    <w:lvl w:ilvl="6" w:tplc="BC70B50E" w:tentative="1">
      <w:start w:val="1"/>
      <w:numFmt w:val="bullet"/>
      <w:lvlText w:val=""/>
      <w:lvlJc w:val="left"/>
      <w:pPr>
        <w:ind w:left="5040" w:hanging="360"/>
      </w:pPr>
      <w:rPr>
        <w:rFonts w:ascii="Symbol" w:hAnsi="Symbol" w:hint="default"/>
      </w:rPr>
    </w:lvl>
    <w:lvl w:ilvl="7" w:tplc="6024E0E4" w:tentative="1">
      <w:start w:val="1"/>
      <w:numFmt w:val="bullet"/>
      <w:lvlText w:val="o"/>
      <w:lvlJc w:val="left"/>
      <w:pPr>
        <w:ind w:left="5760" w:hanging="360"/>
      </w:pPr>
      <w:rPr>
        <w:rFonts w:ascii="Courier New" w:hAnsi="Courier New" w:cs="Courier New" w:hint="default"/>
      </w:rPr>
    </w:lvl>
    <w:lvl w:ilvl="8" w:tplc="3CBAFC20" w:tentative="1">
      <w:start w:val="1"/>
      <w:numFmt w:val="bullet"/>
      <w:lvlText w:val=""/>
      <w:lvlJc w:val="left"/>
      <w:pPr>
        <w:ind w:left="6480" w:hanging="360"/>
      </w:pPr>
      <w:rPr>
        <w:rFonts w:ascii="Wingdings" w:hAnsi="Wingdings" w:hint="default"/>
      </w:rPr>
    </w:lvl>
  </w:abstractNum>
  <w:abstractNum w:abstractNumId="5" w15:restartNumberingAfterBreak="0">
    <w:nsid w:val="1D323A16"/>
    <w:multiLevelType w:val="hybridMultilevel"/>
    <w:tmpl w:val="4C28EFA4"/>
    <w:lvl w:ilvl="0" w:tplc="D8D8773A">
      <w:start w:val="1"/>
      <w:numFmt w:val="bullet"/>
      <w:lvlText w:val=""/>
      <w:lvlJc w:val="left"/>
      <w:pPr>
        <w:ind w:left="720" w:hanging="360"/>
      </w:pPr>
      <w:rPr>
        <w:rFonts w:ascii="Wingdings" w:hAnsi="Wingdings" w:hint="default"/>
        <w:sz w:val="16"/>
      </w:rPr>
    </w:lvl>
    <w:lvl w:ilvl="1" w:tplc="86841126" w:tentative="1">
      <w:start w:val="1"/>
      <w:numFmt w:val="bullet"/>
      <w:lvlText w:val="o"/>
      <w:lvlJc w:val="left"/>
      <w:pPr>
        <w:ind w:left="1440" w:hanging="360"/>
      </w:pPr>
      <w:rPr>
        <w:rFonts w:ascii="Courier New" w:hAnsi="Courier New" w:cs="Courier New" w:hint="default"/>
      </w:rPr>
    </w:lvl>
    <w:lvl w:ilvl="2" w:tplc="33F6E042" w:tentative="1">
      <w:start w:val="1"/>
      <w:numFmt w:val="bullet"/>
      <w:lvlText w:val=""/>
      <w:lvlJc w:val="left"/>
      <w:pPr>
        <w:ind w:left="2160" w:hanging="360"/>
      </w:pPr>
      <w:rPr>
        <w:rFonts w:ascii="Wingdings" w:hAnsi="Wingdings" w:hint="default"/>
      </w:rPr>
    </w:lvl>
    <w:lvl w:ilvl="3" w:tplc="FD5EA5E2" w:tentative="1">
      <w:start w:val="1"/>
      <w:numFmt w:val="bullet"/>
      <w:lvlText w:val=""/>
      <w:lvlJc w:val="left"/>
      <w:pPr>
        <w:ind w:left="2880" w:hanging="360"/>
      </w:pPr>
      <w:rPr>
        <w:rFonts w:ascii="Symbol" w:hAnsi="Symbol" w:hint="default"/>
      </w:rPr>
    </w:lvl>
    <w:lvl w:ilvl="4" w:tplc="503C90AC" w:tentative="1">
      <w:start w:val="1"/>
      <w:numFmt w:val="bullet"/>
      <w:lvlText w:val="o"/>
      <w:lvlJc w:val="left"/>
      <w:pPr>
        <w:ind w:left="3600" w:hanging="360"/>
      </w:pPr>
      <w:rPr>
        <w:rFonts w:ascii="Courier New" w:hAnsi="Courier New" w:cs="Courier New" w:hint="default"/>
      </w:rPr>
    </w:lvl>
    <w:lvl w:ilvl="5" w:tplc="80802E8E" w:tentative="1">
      <w:start w:val="1"/>
      <w:numFmt w:val="bullet"/>
      <w:lvlText w:val=""/>
      <w:lvlJc w:val="left"/>
      <w:pPr>
        <w:ind w:left="4320" w:hanging="360"/>
      </w:pPr>
      <w:rPr>
        <w:rFonts w:ascii="Wingdings" w:hAnsi="Wingdings" w:hint="default"/>
      </w:rPr>
    </w:lvl>
    <w:lvl w:ilvl="6" w:tplc="6A2ED59A" w:tentative="1">
      <w:start w:val="1"/>
      <w:numFmt w:val="bullet"/>
      <w:lvlText w:val=""/>
      <w:lvlJc w:val="left"/>
      <w:pPr>
        <w:ind w:left="5040" w:hanging="360"/>
      </w:pPr>
      <w:rPr>
        <w:rFonts w:ascii="Symbol" w:hAnsi="Symbol" w:hint="default"/>
      </w:rPr>
    </w:lvl>
    <w:lvl w:ilvl="7" w:tplc="0C52054A" w:tentative="1">
      <w:start w:val="1"/>
      <w:numFmt w:val="bullet"/>
      <w:lvlText w:val="o"/>
      <w:lvlJc w:val="left"/>
      <w:pPr>
        <w:ind w:left="5760" w:hanging="360"/>
      </w:pPr>
      <w:rPr>
        <w:rFonts w:ascii="Courier New" w:hAnsi="Courier New" w:cs="Courier New" w:hint="default"/>
      </w:rPr>
    </w:lvl>
    <w:lvl w:ilvl="8" w:tplc="5C70C3AC" w:tentative="1">
      <w:start w:val="1"/>
      <w:numFmt w:val="bullet"/>
      <w:lvlText w:val=""/>
      <w:lvlJc w:val="left"/>
      <w:pPr>
        <w:ind w:left="6480" w:hanging="360"/>
      </w:pPr>
      <w:rPr>
        <w:rFonts w:ascii="Wingdings" w:hAnsi="Wingdings" w:hint="default"/>
      </w:rPr>
    </w:lvl>
  </w:abstractNum>
  <w:abstractNum w:abstractNumId="6" w15:restartNumberingAfterBreak="0">
    <w:nsid w:val="255A2BD9"/>
    <w:multiLevelType w:val="hybridMultilevel"/>
    <w:tmpl w:val="DAD0180E"/>
    <w:lvl w:ilvl="0" w:tplc="BE648FDE">
      <w:start w:val="1"/>
      <w:numFmt w:val="bullet"/>
      <w:lvlText w:val=""/>
      <w:lvlJc w:val="left"/>
      <w:pPr>
        <w:ind w:left="720" w:hanging="360"/>
      </w:pPr>
      <w:rPr>
        <w:rFonts w:ascii="Symbol" w:hAnsi="Symbol" w:hint="default"/>
      </w:rPr>
    </w:lvl>
    <w:lvl w:ilvl="1" w:tplc="E1D64ACC" w:tentative="1">
      <w:start w:val="1"/>
      <w:numFmt w:val="bullet"/>
      <w:lvlText w:val="o"/>
      <w:lvlJc w:val="left"/>
      <w:pPr>
        <w:ind w:left="1440" w:hanging="360"/>
      </w:pPr>
      <w:rPr>
        <w:rFonts w:ascii="Courier New" w:hAnsi="Courier New" w:cs="Courier New" w:hint="default"/>
      </w:rPr>
    </w:lvl>
    <w:lvl w:ilvl="2" w:tplc="C50AB5C6" w:tentative="1">
      <w:start w:val="1"/>
      <w:numFmt w:val="bullet"/>
      <w:lvlText w:val=""/>
      <w:lvlJc w:val="left"/>
      <w:pPr>
        <w:ind w:left="2160" w:hanging="360"/>
      </w:pPr>
      <w:rPr>
        <w:rFonts w:ascii="Wingdings" w:hAnsi="Wingdings" w:hint="default"/>
      </w:rPr>
    </w:lvl>
    <w:lvl w:ilvl="3" w:tplc="19B6B750" w:tentative="1">
      <w:start w:val="1"/>
      <w:numFmt w:val="bullet"/>
      <w:lvlText w:val=""/>
      <w:lvlJc w:val="left"/>
      <w:pPr>
        <w:ind w:left="2880" w:hanging="360"/>
      </w:pPr>
      <w:rPr>
        <w:rFonts w:ascii="Symbol" w:hAnsi="Symbol" w:hint="default"/>
      </w:rPr>
    </w:lvl>
    <w:lvl w:ilvl="4" w:tplc="1A68923E" w:tentative="1">
      <w:start w:val="1"/>
      <w:numFmt w:val="bullet"/>
      <w:lvlText w:val="o"/>
      <w:lvlJc w:val="left"/>
      <w:pPr>
        <w:ind w:left="3600" w:hanging="360"/>
      </w:pPr>
      <w:rPr>
        <w:rFonts w:ascii="Courier New" w:hAnsi="Courier New" w:cs="Courier New" w:hint="default"/>
      </w:rPr>
    </w:lvl>
    <w:lvl w:ilvl="5" w:tplc="DB2CB3A6" w:tentative="1">
      <w:start w:val="1"/>
      <w:numFmt w:val="bullet"/>
      <w:lvlText w:val=""/>
      <w:lvlJc w:val="left"/>
      <w:pPr>
        <w:ind w:left="4320" w:hanging="360"/>
      </w:pPr>
      <w:rPr>
        <w:rFonts w:ascii="Wingdings" w:hAnsi="Wingdings" w:hint="default"/>
      </w:rPr>
    </w:lvl>
    <w:lvl w:ilvl="6" w:tplc="891A09C0" w:tentative="1">
      <w:start w:val="1"/>
      <w:numFmt w:val="bullet"/>
      <w:lvlText w:val=""/>
      <w:lvlJc w:val="left"/>
      <w:pPr>
        <w:ind w:left="5040" w:hanging="360"/>
      </w:pPr>
      <w:rPr>
        <w:rFonts w:ascii="Symbol" w:hAnsi="Symbol" w:hint="default"/>
      </w:rPr>
    </w:lvl>
    <w:lvl w:ilvl="7" w:tplc="5AF8722A" w:tentative="1">
      <w:start w:val="1"/>
      <w:numFmt w:val="bullet"/>
      <w:lvlText w:val="o"/>
      <w:lvlJc w:val="left"/>
      <w:pPr>
        <w:ind w:left="5760" w:hanging="360"/>
      </w:pPr>
      <w:rPr>
        <w:rFonts w:ascii="Courier New" w:hAnsi="Courier New" w:cs="Courier New" w:hint="default"/>
      </w:rPr>
    </w:lvl>
    <w:lvl w:ilvl="8" w:tplc="21307014" w:tentative="1">
      <w:start w:val="1"/>
      <w:numFmt w:val="bullet"/>
      <w:lvlText w:val=""/>
      <w:lvlJc w:val="left"/>
      <w:pPr>
        <w:ind w:left="6480" w:hanging="360"/>
      </w:pPr>
      <w:rPr>
        <w:rFonts w:ascii="Wingdings" w:hAnsi="Wingdings" w:hint="default"/>
      </w:rPr>
    </w:lvl>
  </w:abstractNum>
  <w:abstractNum w:abstractNumId="7" w15:restartNumberingAfterBreak="0">
    <w:nsid w:val="269265B7"/>
    <w:multiLevelType w:val="hybridMultilevel"/>
    <w:tmpl w:val="CE566DFA"/>
    <w:lvl w:ilvl="0" w:tplc="AD5A0950">
      <w:start w:val="1"/>
      <w:numFmt w:val="bullet"/>
      <w:lvlText w:val=""/>
      <w:lvlJc w:val="left"/>
      <w:pPr>
        <w:ind w:left="720" w:hanging="360"/>
      </w:pPr>
      <w:rPr>
        <w:rFonts w:ascii="Wingdings" w:hAnsi="Wingdings" w:hint="default"/>
        <w:b/>
        <w:i w:val="0"/>
        <w:color w:val="06B0E3"/>
        <w:sz w:val="28"/>
      </w:rPr>
    </w:lvl>
    <w:lvl w:ilvl="1" w:tplc="AF96C232" w:tentative="1">
      <w:start w:val="1"/>
      <w:numFmt w:val="bullet"/>
      <w:lvlText w:val="o"/>
      <w:lvlJc w:val="left"/>
      <w:pPr>
        <w:ind w:left="1440" w:hanging="360"/>
      </w:pPr>
      <w:rPr>
        <w:rFonts w:ascii="Courier New" w:hAnsi="Courier New" w:cs="Courier New" w:hint="default"/>
      </w:rPr>
    </w:lvl>
    <w:lvl w:ilvl="2" w:tplc="6BF2C048" w:tentative="1">
      <w:start w:val="1"/>
      <w:numFmt w:val="bullet"/>
      <w:lvlText w:val=""/>
      <w:lvlJc w:val="left"/>
      <w:pPr>
        <w:ind w:left="2160" w:hanging="360"/>
      </w:pPr>
      <w:rPr>
        <w:rFonts w:ascii="Wingdings" w:hAnsi="Wingdings" w:hint="default"/>
      </w:rPr>
    </w:lvl>
    <w:lvl w:ilvl="3" w:tplc="37B0AB82" w:tentative="1">
      <w:start w:val="1"/>
      <w:numFmt w:val="bullet"/>
      <w:lvlText w:val=""/>
      <w:lvlJc w:val="left"/>
      <w:pPr>
        <w:ind w:left="2880" w:hanging="360"/>
      </w:pPr>
      <w:rPr>
        <w:rFonts w:ascii="Symbol" w:hAnsi="Symbol" w:hint="default"/>
      </w:rPr>
    </w:lvl>
    <w:lvl w:ilvl="4" w:tplc="41A254C8" w:tentative="1">
      <w:start w:val="1"/>
      <w:numFmt w:val="bullet"/>
      <w:lvlText w:val="o"/>
      <w:lvlJc w:val="left"/>
      <w:pPr>
        <w:ind w:left="3600" w:hanging="360"/>
      </w:pPr>
      <w:rPr>
        <w:rFonts w:ascii="Courier New" w:hAnsi="Courier New" w:cs="Courier New" w:hint="default"/>
      </w:rPr>
    </w:lvl>
    <w:lvl w:ilvl="5" w:tplc="E6DE946E" w:tentative="1">
      <w:start w:val="1"/>
      <w:numFmt w:val="bullet"/>
      <w:lvlText w:val=""/>
      <w:lvlJc w:val="left"/>
      <w:pPr>
        <w:ind w:left="4320" w:hanging="360"/>
      </w:pPr>
      <w:rPr>
        <w:rFonts w:ascii="Wingdings" w:hAnsi="Wingdings" w:hint="default"/>
      </w:rPr>
    </w:lvl>
    <w:lvl w:ilvl="6" w:tplc="DC3C75C0" w:tentative="1">
      <w:start w:val="1"/>
      <w:numFmt w:val="bullet"/>
      <w:lvlText w:val=""/>
      <w:lvlJc w:val="left"/>
      <w:pPr>
        <w:ind w:left="5040" w:hanging="360"/>
      </w:pPr>
      <w:rPr>
        <w:rFonts w:ascii="Symbol" w:hAnsi="Symbol" w:hint="default"/>
      </w:rPr>
    </w:lvl>
    <w:lvl w:ilvl="7" w:tplc="D25EFDFA" w:tentative="1">
      <w:start w:val="1"/>
      <w:numFmt w:val="bullet"/>
      <w:lvlText w:val="o"/>
      <w:lvlJc w:val="left"/>
      <w:pPr>
        <w:ind w:left="5760" w:hanging="360"/>
      </w:pPr>
      <w:rPr>
        <w:rFonts w:ascii="Courier New" w:hAnsi="Courier New" w:cs="Courier New" w:hint="default"/>
      </w:rPr>
    </w:lvl>
    <w:lvl w:ilvl="8" w:tplc="E54C10B6" w:tentative="1">
      <w:start w:val="1"/>
      <w:numFmt w:val="bullet"/>
      <w:lvlText w:val=""/>
      <w:lvlJc w:val="left"/>
      <w:pPr>
        <w:ind w:left="6480" w:hanging="360"/>
      </w:pPr>
      <w:rPr>
        <w:rFonts w:ascii="Wingdings" w:hAnsi="Wingdings" w:hint="default"/>
      </w:rPr>
    </w:lvl>
  </w:abstractNum>
  <w:abstractNum w:abstractNumId="8" w15:restartNumberingAfterBreak="0">
    <w:nsid w:val="271166A4"/>
    <w:multiLevelType w:val="hybridMultilevel"/>
    <w:tmpl w:val="35D20024"/>
    <w:lvl w:ilvl="0" w:tplc="4EF460E4">
      <w:start w:val="1"/>
      <w:numFmt w:val="bullet"/>
      <w:lvlText w:val=""/>
      <w:lvlJc w:val="left"/>
      <w:pPr>
        <w:ind w:left="288" w:hanging="288"/>
      </w:pPr>
      <w:rPr>
        <w:rFonts w:ascii="Symbol" w:hAnsi="Symbol" w:hint="default"/>
      </w:rPr>
    </w:lvl>
    <w:lvl w:ilvl="1" w:tplc="902C4BF8">
      <w:start w:val="1"/>
      <w:numFmt w:val="bullet"/>
      <w:lvlText w:val="o"/>
      <w:lvlJc w:val="left"/>
      <w:pPr>
        <w:ind w:left="576" w:hanging="216"/>
      </w:pPr>
      <w:rPr>
        <w:rFonts w:ascii="Courier New" w:hAnsi="Courier New" w:hint="default"/>
      </w:rPr>
    </w:lvl>
    <w:lvl w:ilvl="2" w:tplc="CA2A434E">
      <w:start w:val="1"/>
      <w:numFmt w:val="bullet"/>
      <w:lvlText w:val=""/>
      <w:lvlJc w:val="left"/>
      <w:pPr>
        <w:ind w:left="864" w:hanging="216"/>
      </w:pPr>
      <w:rPr>
        <w:rFonts w:ascii="Wingdings" w:hAnsi="Wingdings" w:hint="default"/>
      </w:rPr>
    </w:lvl>
    <w:lvl w:ilvl="3" w:tplc="88A2392C" w:tentative="1">
      <w:start w:val="1"/>
      <w:numFmt w:val="bullet"/>
      <w:lvlText w:val=""/>
      <w:lvlJc w:val="left"/>
      <w:pPr>
        <w:ind w:left="2880" w:hanging="360"/>
      </w:pPr>
      <w:rPr>
        <w:rFonts w:ascii="Symbol" w:hAnsi="Symbol" w:hint="default"/>
      </w:rPr>
    </w:lvl>
    <w:lvl w:ilvl="4" w:tplc="974A65A6" w:tentative="1">
      <w:start w:val="1"/>
      <w:numFmt w:val="bullet"/>
      <w:lvlText w:val="o"/>
      <w:lvlJc w:val="left"/>
      <w:pPr>
        <w:ind w:left="3600" w:hanging="360"/>
      </w:pPr>
      <w:rPr>
        <w:rFonts w:ascii="Courier New" w:hAnsi="Courier New" w:cs="Courier New" w:hint="default"/>
      </w:rPr>
    </w:lvl>
    <w:lvl w:ilvl="5" w:tplc="04EAE712" w:tentative="1">
      <w:start w:val="1"/>
      <w:numFmt w:val="bullet"/>
      <w:lvlText w:val=""/>
      <w:lvlJc w:val="left"/>
      <w:pPr>
        <w:ind w:left="4320" w:hanging="360"/>
      </w:pPr>
      <w:rPr>
        <w:rFonts w:ascii="Wingdings" w:hAnsi="Wingdings" w:hint="default"/>
      </w:rPr>
    </w:lvl>
    <w:lvl w:ilvl="6" w:tplc="4F5C0178" w:tentative="1">
      <w:start w:val="1"/>
      <w:numFmt w:val="bullet"/>
      <w:lvlText w:val=""/>
      <w:lvlJc w:val="left"/>
      <w:pPr>
        <w:ind w:left="5040" w:hanging="360"/>
      </w:pPr>
      <w:rPr>
        <w:rFonts w:ascii="Symbol" w:hAnsi="Symbol" w:hint="default"/>
      </w:rPr>
    </w:lvl>
    <w:lvl w:ilvl="7" w:tplc="BA085778" w:tentative="1">
      <w:start w:val="1"/>
      <w:numFmt w:val="bullet"/>
      <w:lvlText w:val="o"/>
      <w:lvlJc w:val="left"/>
      <w:pPr>
        <w:ind w:left="5760" w:hanging="360"/>
      </w:pPr>
      <w:rPr>
        <w:rFonts w:ascii="Courier New" w:hAnsi="Courier New" w:cs="Courier New" w:hint="default"/>
      </w:rPr>
    </w:lvl>
    <w:lvl w:ilvl="8" w:tplc="0AFA7D1A" w:tentative="1">
      <w:start w:val="1"/>
      <w:numFmt w:val="bullet"/>
      <w:lvlText w:val=""/>
      <w:lvlJc w:val="left"/>
      <w:pPr>
        <w:ind w:left="6480" w:hanging="360"/>
      </w:pPr>
      <w:rPr>
        <w:rFonts w:ascii="Wingdings" w:hAnsi="Wingdings" w:hint="default"/>
      </w:rPr>
    </w:lvl>
  </w:abstractNum>
  <w:abstractNum w:abstractNumId="9" w15:restartNumberingAfterBreak="0">
    <w:nsid w:val="2AE5615E"/>
    <w:multiLevelType w:val="hybridMultilevel"/>
    <w:tmpl w:val="9E36E3C2"/>
    <w:lvl w:ilvl="0" w:tplc="51D25B36">
      <w:start w:val="1"/>
      <w:numFmt w:val="bullet"/>
      <w:pStyle w:val="H-Bulletlist"/>
      <w:lvlText w:val=""/>
      <w:lvlJc w:val="left"/>
      <w:pPr>
        <w:ind w:left="720" w:hanging="360"/>
      </w:pPr>
      <w:rPr>
        <w:rFonts w:ascii="Symbol" w:hAnsi="Symbol" w:hint="default"/>
      </w:rPr>
    </w:lvl>
    <w:lvl w:ilvl="1" w:tplc="8C2CF7EA" w:tentative="1">
      <w:start w:val="1"/>
      <w:numFmt w:val="bullet"/>
      <w:lvlText w:val="o"/>
      <w:lvlJc w:val="left"/>
      <w:pPr>
        <w:ind w:left="1440" w:hanging="360"/>
      </w:pPr>
      <w:rPr>
        <w:rFonts w:ascii="Courier New" w:hAnsi="Courier New" w:cs="Courier New" w:hint="default"/>
      </w:rPr>
    </w:lvl>
    <w:lvl w:ilvl="2" w:tplc="6EC60C0C" w:tentative="1">
      <w:start w:val="1"/>
      <w:numFmt w:val="bullet"/>
      <w:lvlText w:val=""/>
      <w:lvlJc w:val="left"/>
      <w:pPr>
        <w:ind w:left="2160" w:hanging="360"/>
      </w:pPr>
      <w:rPr>
        <w:rFonts w:ascii="Wingdings" w:hAnsi="Wingdings" w:hint="default"/>
      </w:rPr>
    </w:lvl>
    <w:lvl w:ilvl="3" w:tplc="8A80F578" w:tentative="1">
      <w:start w:val="1"/>
      <w:numFmt w:val="bullet"/>
      <w:lvlText w:val=""/>
      <w:lvlJc w:val="left"/>
      <w:pPr>
        <w:ind w:left="2880" w:hanging="360"/>
      </w:pPr>
      <w:rPr>
        <w:rFonts w:ascii="Symbol" w:hAnsi="Symbol" w:hint="default"/>
      </w:rPr>
    </w:lvl>
    <w:lvl w:ilvl="4" w:tplc="BD68CC8E" w:tentative="1">
      <w:start w:val="1"/>
      <w:numFmt w:val="bullet"/>
      <w:lvlText w:val="o"/>
      <w:lvlJc w:val="left"/>
      <w:pPr>
        <w:ind w:left="3600" w:hanging="360"/>
      </w:pPr>
      <w:rPr>
        <w:rFonts w:ascii="Courier New" w:hAnsi="Courier New" w:cs="Courier New" w:hint="default"/>
      </w:rPr>
    </w:lvl>
    <w:lvl w:ilvl="5" w:tplc="0A5CEB12" w:tentative="1">
      <w:start w:val="1"/>
      <w:numFmt w:val="bullet"/>
      <w:lvlText w:val=""/>
      <w:lvlJc w:val="left"/>
      <w:pPr>
        <w:ind w:left="4320" w:hanging="360"/>
      </w:pPr>
      <w:rPr>
        <w:rFonts w:ascii="Wingdings" w:hAnsi="Wingdings" w:hint="default"/>
      </w:rPr>
    </w:lvl>
    <w:lvl w:ilvl="6" w:tplc="A9BE91A2" w:tentative="1">
      <w:start w:val="1"/>
      <w:numFmt w:val="bullet"/>
      <w:lvlText w:val=""/>
      <w:lvlJc w:val="left"/>
      <w:pPr>
        <w:ind w:left="5040" w:hanging="360"/>
      </w:pPr>
      <w:rPr>
        <w:rFonts w:ascii="Symbol" w:hAnsi="Symbol" w:hint="default"/>
      </w:rPr>
    </w:lvl>
    <w:lvl w:ilvl="7" w:tplc="6A7EC3C6" w:tentative="1">
      <w:start w:val="1"/>
      <w:numFmt w:val="bullet"/>
      <w:lvlText w:val="o"/>
      <w:lvlJc w:val="left"/>
      <w:pPr>
        <w:ind w:left="5760" w:hanging="360"/>
      </w:pPr>
      <w:rPr>
        <w:rFonts w:ascii="Courier New" w:hAnsi="Courier New" w:cs="Courier New" w:hint="default"/>
      </w:rPr>
    </w:lvl>
    <w:lvl w:ilvl="8" w:tplc="2070ED52" w:tentative="1">
      <w:start w:val="1"/>
      <w:numFmt w:val="bullet"/>
      <w:lvlText w:val=""/>
      <w:lvlJc w:val="left"/>
      <w:pPr>
        <w:ind w:left="6480" w:hanging="360"/>
      </w:pPr>
      <w:rPr>
        <w:rFonts w:ascii="Wingdings" w:hAnsi="Wingdings" w:hint="default"/>
      </w:rPr>
    </w:lvl>
  </w:abstractNum>
  <w:abstractNum w:abstractNumId="10" w15:restartNumberingAfterBreak="0">
    <w:nsid w:val="2D6371BA"/>
    <w:multiLevelType w:val="hybridMultilevel"/>
    <w:tmpl w:val="60565E9E"/>
    <w:lvl w:ilvl="0" w:tplc="A9D29170">
      <w:start w:val="1"/>
      <w:numFmt w:val="bullet"/>
      <w:lvlText w:val=""/>
      <w:lvlJc w:val="left"/>
      <w:pPr>
        <w:ind w:left="720" w:hanging="360"/>
      </w:pPr>
      <w:rPr>
        <w:rFonts w:ascii="Wingdings" w:hAnsi="Wingdings" w:hint="default"/>
        <w:sz w:val="16"/>
      </w:rPr>
    </w:lvl>
    <w:lvl w:ilvl="1" w:tplc="E0B4ECA0" w:tentative="1">
      <w:start w:val="1"/>
      <w:numFmt w:val="bullet"/>
      <w:lvlText w:val="o"/>
      <w:lvlJc w:val="left"/>
      <w:pPr>
        <w:ind w:left="1440" w:hanging="360"/>
      </w:pPr>
      <w:rPr>
        <w:rFonts w:ascii="Courier New" w:hAnsi="Courier New" w:cs="Courier New" w:hint="default"/>
      </w:rPr>
    </w:lvl>
    <w:lvl w:ilvl="2" w:tplc="37229CE8" w:tentative="1">
      <w:start w:val="1"/>
      <w:numFmt w:val="bullet"/>
      <w:lvlText w:val=""/>
      <w:lvlJc w:val="left"/>
      <w:pPr>
        <w:ind w:left="2160" w:hanging="360"/>
      </w:pPr>
      <w:rPr>
        <w:rFonts w:ascii="Wingdings" w:hAnsi="Wingdings" w:hint="default"/>
      </w:rPr>
    </w:lvl>
    <w:lvl w:ilvl="3" w:tplc="FE0A6026" w:tentative="1">
      <w:start w:val="1"/>
      <w:numFmt w:val="bullet"/>
      <w:lvlText w:val=""/>
      <w:lvlJc w:val="left"/>
      <w:pPr>
        <w:ind w:left="2880" w:hanging="360"/>
      </w:pPr>
      <w:rPr>
        <w:rFonts w:ascii="Symbol" w:hAnsi="Symbol" w:hint="default"/>
      </w:rPr>
    </w:lvl>
    <w:lvl w:ilvl="4" w:tplc="19567FEE" w:tentative="1">
      <w:start w:val="1"/>
      <w:numFmt w:val="bullet"/>
      <w:lvlText w:val="o"/>
      <w:lvlJc w:val="left"/>
      <w:pPr>
        <w:ind w:left="3600" w:hanging="360"/>
      </w:pPr>
      <w:rPr>
        <w:rFonts w:ascii="Courier New" w:hAnsi="Courier New" w:cs="Courier New" w:hint="default"/>
      </w:rPr>
    </w:lvl>
    <w:lvl w:ilvl="5" w:tplc="3B708D60" w:tentative="1">
      <w:start w:val="1"/>
      <w:numFmt w:val="bullet"/>
      <w:lvlText w:val=""/>
      <w:lvlJc w:val="left"/>
      <w:pPr>
        <w:ind w:left="4320" w:hanging="360"/>
      </w:pPr>
      <w:rPr>
        <w:rFonts w:ascii="Wingdings" w:hAnsi="Wingdings" w:hint="default"/>
      </w:rPr>
    </w:lvl>
    <w:lvl w:ilvl="6" w:tplc="384C1712" w:tentative="1">
      <w:start w:val="1"/>
      <w:numFmt w:val="bullet"/>
      <w:lvlText w:val=""/>
      <w:lvlJc w:val="left"/>
      <w:pPr>
        <w:ind w:left="5040" w:hanging="360"/>
      </w:pPr>
      <w:rPr>
        <w:rFonts w:ascii="Symbol" w:hAnsi="Symbol" w:hint="default"/>
      </w:rPr>
    </w:lvl>
    <w:lvl w:ilvl="7" w:tplc="8994987A" w:tentative="1">
      <w:start w:val="1"/>
      <w:numFmt w:val="bullet"/>
      <w:lvlText w:val="o"/>
      <w:lvlJc w:val="left"/>
      <w:pPr>
        <w:ind w:left="5760" w:hanging="360"/>
      </w:pPr>
      <w:rPr>
        <w:rFonts w:ascii="Courier New" w:hAnsi="Courier New" w:cs="Courier New" w:hint="default"/>
      </w:rPr>
    </w:lvl>
    <w:lvl w:ilvl="8" w:tplc="15B40BF8" w:tentative="1">
      <w:start w:val="1"/>
      <w:numFmt w:val="bullet"/>
      <w:lvlText w:val=""/>
      <w:lvlJc w:val="left"/>
      <w:pPr>
        <w:ind w:left="6480" w:hanging="360"/>
      </w:pPr>
      <w:rPr>
        <w:rFonts w:ascii="Wingdings" w:hAnsi="Wingdings" w:hint="default"/>
      </w:rPr>
    </w:lvl>
  </w:abstractNum>
  <w:abstractNum w:abstractNumId="11" w15:restartNumberingAfterBreak="0">
    <w:nsid w:val="32A35B6B"/>
    <w:multiLevelType w:val="hybridMultilevel"/>
    <w:tmpl w:val="E7183426"/>
    <w:lvl w:ilvl="0" w:tplc="67A0BD40">
      <w:start w:val="1"/>
      <w:numFmt w:val="bullet"/>
      <w:lvlText w:val=""/>
      <w:lvlJc w:val="left"/>
      <w:pPr>
        <w:ind w:left="720" w:hanging="360"/>
      </w:pPr>
      <w:rPr>
        <w:rFonts w:ascii="Symbol" w:hAnsi="Symbol" w:hint="default"/>
      </w:rPr>
    </w:lvl>
    <w:lvl w:ilvl="1" w:tplc="B07272DA" w:tentative="1">
      <w:start w:val="1"/>
      <w:numFmt w:val="bullet"/>
      <w:lvlText w:val="o"/>
      <w:lvlJc w:val="left"/>
      <w:pPr>
        <w:ind w:left="1440" w:hanging="360"/>
      </w:pPr>
      <w:rPr>
        <w:rFonts w:ascii="Courier New" w:hAnsi="Courier New" w:cs="Courier New" w:hint="default"/>
      </w:rPr>
    </w:lvl>
    <w:lvl w:ilvl="2" w:tplc="A0F8E6AA" w:tentative="1">
      <w:start w:val="1"/>
      <w:numFmt w:val="bullet"/>
      <w:lvlText w:val=""/>
      <w:lvlJc w:val="left"/>
      <w:pPr>
        <w:ind w:left="2160" w:hanging="360"/>
      </w:pPr>
      <w:rPr>
        <w:rFonts w:ascii="Wingdings" w:hAnsi="Wingdings" w:hint="default"/>
      </w:rPr>
    </w:lvl>
    <w:lvl w:ilvl="3" w:tplc="8DE062EC" w:tentative="1">
      <w:start w:val="1"/>
      <w:numFmt w:val="bullet"/>
      <w:lvlText w:val=""/>
      <w:lvlJc w:val="left"/>
      <w:pPr>
        <w:ind w:left="2880" w:hanging="360"/>
      </w:pPr>
      <w:rPr>
        <w:rFonts w:ascii="Symbol" w:hAnsi="Symbol" w:hint="default"/>
      </w:rPr>
    </w:lvl>
    <w:lvl w:ilvl="4" w:tplc="548A9FDE" w:tentative="1">
      <w:start w:val="1"/>
      <w:numFmt w:val="bullet"/>
      <w:lvlText w:val="o"/>
      <w:lvlJc w:val="left"/>
      <w:pPr>
        <w:ind w:left="3600" w:hanging="360"/>
      </w:pPr>
      <w:rPr>
        <w:rFonts w:ascii="Courier New" w:hAnsi="Courier New" w:cs="Courier New" w:hint="default"/>
      </w:rPr>
    </w:lvl>
    <w:lvl w:ilvl="5" w:tplc="700A990C" w:tentative="1">
      <w:start w:val="1"/>
      <w:numFmt w:val="bullet"/>
      <w:lvlText w:val=""/>
      <w:lvlJc w:val="left"/>
      <w:pPr>
        <w:ind w:left="4320" w:hanging="360"/>
      </w:pPr>
      <w:rPr>
        <w:rFonts w:ascii="Wingdings" w:hAnsi="Wingdings" w:hint="default"/>
      </w:rPr>
    </w:lvl>
    <w:lvl w:ilvl="6" w:tplc="D8CA6ADA" w:tentative="1">
      <w:start w:val="1"/>
      <w:numFmt w:val="bullet"/>
      <w:lvlText w:val=""/>
      <w:lvlJc w:val="left"/>
      <w:pPr>
        <w:ind w:left="5040" w:hanging="360"/>
      </w:pPr>
      <w:rPr>
        <w:rFonts w:ascii="Symbol" w:hAnsi="Symbol" w:hint="default"/>
      </w:rPr>
    </w:lvl>
    <w:lvl w:ilvl="7" w:tplc="8BF0E33E" w:tentative="1">
      <w:start w:val="1"/>
      <w:numFmt w:val="bullet"/>
      <w:lvlText w:val="o"/>
      <w:lvlJc w:val="left"/>
      <w:pPr>
        <w:ind w:left="5760" w:hanging="360"/>
      </w:pPr>
      <w:rPr>
        <w:rFonts w:ascii="Courier New" w:hAnsi="Courier New" w:cs="Courier New" w:hint="default"/>
      </w:rPr>
    </w:lvl>
    <w:lvl w:ilvl="8" w:tplc="7DCC5CD2" w:tentative="1">
      <w:start w:val="1"/>
      <w:numFmt w:val="bullet"/>
      <w:lvlText w:val=""/>
      <w:lvlJc w:val="left"/>
      <w:pPr>
        <w:ind w:left="6480" w:hanging="360"/>
      </w:pPr>
      <w:rPr>
        <w:rFonts w:ascii="Wingdings" w:hAnsi="Wingdings" w:hint="default"/>
      </w:rPr>
    </w:lvl>
  </w:abstractNum>
  <w:abstractNum w:abstractNumId="12" w15:restartNumberingAfterBreak="0">
    <w:nsid w:val="370A2C70"/>
    <w:multiLevelType w:val="hybridMultilevel"/>
    <w:tmpl w:val="CB1A4564"/>
    <w:lvl w:ilvl="0" w:tplc="123849E8">
      <w:start w:val="1"/>
      <w:numFmt w:val="bullet"/>
      <w:pStyle w:val="BulletList"/>
      <w:lvlText w:val=""/>
      <w:lvlJc w:val="left"/>
      <w:pPr>
        <w:ind w:left="576" w:hanging="216"/>
      </w:pPr>
      <w:rPr>
        <w:rFonts w:ascii="Symbol" w:hAnsi="Symbol" w:hint="default"/>
      </w:rPr>
    </w:lvl>
    <w:lvl w:ilvl="1" w:tplc="C2B2DF42">
      <w:start w:val="1"/>
      <w:numFmt w:val="bullet"/>
      <w:lvlText w:val="o"/>
      <w:lvlJc w:val="left"/>
      <w:pPr>
        <w:ind w:left="936" w:hanging="216"/>
      </w:pPr>
      <w:rPr>
        <w:rFonts w:ascii="Courier New" w:hAnsi="Courier New" w:hint="default"/>
      </w:rPr>
    </w:lvl>
    <w:lvl w:ilvl="2" w:tplc="6054105E">
      <w:start w:val="1"/>
      <w:numFmt w:val="bullet"/>
      <w:lvlText w:val=""/>
      <w:lvlJc w:val="left"/>
      <w:pPr>
        <w:ind w:left="1296" w:hanging="216"/>
      </w:pPr>
      <w:rPr>
        <w:rFonts w:ascii="Wingdings" w:hAnsi="Wingdings" w:hint="default"/>
      </w:rPr>
    </w:lvl>
    <w:lvl w:ilvl="3" w:tplc="25FA61E0" w:tentative="1">
      <w:start w:val="1"/>
      <w:numFmt w:val="bullet"/>
      <w:lvlText w:val=""/>
      <w:lvlJc w:val="left"/>
      <w:pPr>
        <w:ind w:left="2880" w:hanging="360"/>
      </w:pPr>
      <w:rPr>
        <w:rFonts w:ascii="Symbol" w:hAnsi="Symbol" w:hint="default"/>
      </w:rPr>
    </w:lvl>
    <w:lvl w:ilvl="4" w:tplc="454C0692" w:tentative="1">
      <w:start w:val="1"/>
      <w:numFmt w:val="bullet"/>
      <w:lvlText w:val="o"/>
      <w:lvlJc w:val="left"/>
      <w:pPr>
        <w:ind w:left="3600" w:hanging="360"/>
      </w:pPr>
      <w:rPr>
        <w:rFonts w:ascii="Courier New" w:hAnsi="Courier New" w:cs="Courier New" w:hint="default"/>
      </w:rPr>
    </w:lvl>
    <w:lvl w:ilvl="5" w:tplc="5F166700" w:tentative="1">
      <w:start w:val="1"/>
      <w:numFmt w:val="bullet"/>
      <w:lvlText w:val=""/>
      <w:lvlJc w:val="left"/>
      <w:pPr>
        <w:ind w:left="4320" w:hanging="360"/>
      </w:pPr>
      <w:rPr>
        <w:rFonts w:ascii="Wingdings" w:hAnsi="Wingdings" w:hint="default"/>
      </w:rPr>
    </w:lvl>
    <w:lvl w:ilvl="6" w:tplc="C7D6D880" w:tentative="1">
      <w:start w:val="1"/>
      <w:numFmt w:val="bullet"/>
      <w:lvlText w:val=""/>
      <w:lvlJc w:val="left"/>
      <w:pPr>
        <w:ind w:left="5040" w:hanging="360"/>
      </w:pPr>
      <w:rPr>
        <w:rFonts w:ascii="Symbol" w:hAnsi="Symbol" w:hint="default"/>
      </w:rPr>
    </w:lvl>
    <w:lvl w:ilvl="7" w:tplc="2E0033A2" w:tentative="1">
      <w:start w:val="1"/>
      <w:numFmt w:val="bullet"/>
      <w:lvlText w:val="o"/>
      <w:lvlJc w:val="left"/>
      <w:pPr>
        <w:ind w:left="5760" w:hanging="360"/>
      </w:pPr>
      <w:rPr>
        <w:rFonts w:ascii="Courier New" w:hAnsi="Courier New" w:cs="Courier New" w:hint="default"/>
      </w:rPr>
    </w:lvl>
    <w:lvl w:ilvl="8" w:tplc="590236AC" w:tentative="1">
      <w:start w:val="1"/>
      <w:numFmt w:val="bullet"/>
      <w:lvlText w:val=""/>
      <w:lvlJc w:val="left"/>
      <w:pPr>
        <w:ind w:left="6480" w:hanging="360"/>
      </w:pPr>
      <w:rPr>
        <w:rFonts w:ascii="Wingdings" w:hAnsi="Wingdings" w:hint="default"/>
      </w:rPr>
    </w:lvl>
  </w:abstractNum>
  <w:abstractNum w:abstractNumId="13" w15:restartNumberingAfterBreak="0">
    <w:nsid w:val="3C0304EA"/>
    <w:multiLevelType w:val="hybridMultilevel"/>
    <w:tmpl w:val="8E58620C"/>
    <w:lvl w:ilvl="0" w:tplc="23B082CC">
      <w:start w:val="1"/>
      <w:numFmt w:val="bullet"/>
      <w:lvlText w:val=""/>
      <w:lvlJc w:val="left"/>
      <w:pPr>
        <w:ind w:left="720" w:hanging="360"/>
      </w:pPr>
      <w:rPr>
        <w:rFonts w:ascii="Wingdings" w:hAnsi="Wingdings" w:hint="default"/>
        <w:sz w:val="16"/>
      </w:rPr>
    </w:lvl>
    <w:lvl w:ilvl="1" w:tplc="58ECF282" w:tentative="1">
      <w:start w:val="1"/>
      <w:numFmt w:val="bullet"/>
      <w:lvlText w:val="o"/>
      <w:lvlJc w:val="left"/>
      <w:pPr>
        <w:ind w:left="1440" w:hanging="360"/>
      </w:pPr>
      <w:rPr>
        <w:rFonts w:ascii="Courier New" w:hAnsi="Courier New" w:cs="Courier New" w:hint="default"/>
      </w:rPr>
    </w:lvl>
    <w:lvl w:ilvl="2" w:tplc="035E75D0" w:tentative="1">
      <w:start w:val="1"/>
      <w:numFmt w:val="bullet"/>
      <w:lvlText w:val=""/>
      <w:lvlJc w:val="left"/>
      <w:pPr>
        <w:ind w:left="2160" w:hanging="360"/>
      </w:pPr>
      <w:rPr>
        <w:rFonts w:ascii="Wingdings" w:hAnsi="Wingdings" w:hint="default"/>
      </w:rPr>
    </w:lvl>
    <w:lvl w:ilvl="3" w:tplc="1B865C70" w:tentative="1">
      <w:start w:val="1"/>
      <w:numFmt w:val="bullet"/>
      <w:lvlText w:val=""/>
      <w:lvlJc w:val="left"/>
      <w:pPr>
        <w:ind w:left="2880" w:hanging="360"/>
      </w:pPr>
      <w:rPr>
        <w:rFonts w:ascii="Symbol" w:hAnsi="Symbol" w:hint="default"/>
      </w:rPr>
    </w:lvl>
    <w:lvl w:ilvl="4" w:tplc="93C6B26A" w:tentative="1">
      <w:start w:val="1"/>
      <w:numFmt w:val="bullet"/>
      <w:lvlText w:val="o"/>
      <w:lvlJc w:val="left"/>
      <w:pPr>
        <w:ind w:left="3600" w:hanging="360"/>
      </w:pPr>
      <w:rPr>
        <w:rFonts w:ascii="Courier New" w:hAnsi="Courier New" w:cs="Courier New" w:hint="default"/>
      </w:rPr>
    </w:lvl>
    <w:lvl w:ilvl="5" w:tplc="42C847BA" w:tentative="1">
      <w:start w:val="1"/>
      <w:numFmt w:val="bullet"/>
      <w:lvlText w:val=""/>
      <w:lvlJc w:val="left"/>
      <w:pPr>
        <w:ind w:left="4320" w:hanging="360"/>
      </w:pPr>
      <w:rPr>
        <w:rFonts w:ascii="Wingdings" w:hAnsi="Wingdings" w:hint="default"/>
      </w:rPr>
    </w:lvl>
    <w:lvl w:ilvl="6" w:tplc="2C64501C" w:tentative="1">
      <w:start w:val="1"/>
      <w:numFmt w:val="bullet"/>
      <w:lvlText w:val=""/>
      <w:lvlJc w:val="left"/>
      <w:pPr>
        <w:ind w:left="5040" w:hanging="360"/>
      </w:pPr>
      <w:rPr>
        <w:rFonts w:ascii="Symbol" w:hAnsi="Symbol" w:hint="default"/>
      </w:rPr>
    </w:lvl>
    <w:lvl w:ilvl="7" w:tplc="C5A4B928" w:tentative="1">
      <w:start w:val="1"/>
      <w:numFmt w:val="bullet"/>
      <w:lvlText w:val="o"/>
      <w:lvlJc w:val="left"/>
      <w:pPr>
        <w:ind w:left="5760" w:hanging="360"/>
      </w:pPr>
      <w:rPr>
        <w:rFonts w:ascii="Courier New" w:hAnsi="Courier New" w:cs="Courier New" w:hint="default"/>
      </w:rPr>
    </w:lvl>
    <w:lvl w:ilvl="8" w:tplc="C624D1B4" w:tentative="1">
      <w:start w:val="1"/>
      <w:numFmt w:val="bullet"/>
      <w:lvlText w:val=""/>
      <w:lvlJc w:val="left"/>
      <w:pPr>
        <w:ind w:left="6480" w:hanging="360"/>
      </w:pPr>
      <w:rPr>
        <w:rFonts w:ascii="Wingdings" w:hAnsi="Wingdings" w:hint="default"/>
      </w:rPr>
    </w:lvl>
  </w:abstractNum>
  <w:abstractNum w:abstractNumId="14" w15:restartNumberingAfterBreak="0">
    <w:nsid w:val="405D68C9"/>
    <w:multiLevelType w:val="hybridMultilevel"/>
    <w:tmpl w:val="4A82E5B2"/>
    <w:lvl w:ilvl="0" w:tplc="B2BC75CA">
      <w:start w:val="1"/>
      <w:numFmt w:val="bullet"/>
      <w:lvlText w:val=""/>
      <w:lvlJc w:val="left"/>
      <w:pPr>
        <w:ind w:left="720" w:hanging="360"/>
      </w:pPr>
      <w:rPr>
        <w:rFonts w:ascii="Wingdings" w:hAnsi="Wingdings" w:hint="default"/>
        <w:b/>
        <w:i w:val="0"/>
        <w:color w:val="06B0E3"/>
        <w:sz w:val="28"/>
      </w:rPr>
    </w:lvl>
    <w:lvl w:ilvl="1" w:tplc="4BDCCEDC" w:tentative="1">
      <w:start w:val="1"/>
      <w:numFmt w:val="bullet"/>
      <w:lvlText w:val="o"/>
      <w:lvlJc w:val="left"/>
      <w:pPr>
        <w:ind w:left="1440" w:hanging="360"/>
      </w:pPr>
      <w:rPr>
        <w:rFonts w:ascii="Courier New" w:hAnsi="Courier New" w:cs="Courier New" w:hint="default"/>
      </w:rPr>
    </w:lvl>
    <w:lvl w:ilvl="2" w:tplc="7AE40D08" w:tentative="1">
      <w:start w:val="1"/>
      <w:numFmt w:val="bullet"/>
      <w:lvlText w:val=""/>
      <w:lvlJc w:val="left"/>
      <w:pPr>
        <w:ind w:left="2160" w:hanging="360"/>
      </w:pPr>
      <w:rPr>
        <w:rFonts w:ascii="Wingdings" w:hAnsi="Wingdings" w:hint="default"/>
      </w:rPr>
    </w:lvl>
    <w:lvl w:ilvl="3" w:tplc="4D865F02" w:tentative="1">
      <w:start w:val="1"/>
      <w:numFmt w:val="bullet"/>
      <w:lvlText w:val=""/>
      <w:lvlJc w:val="left"/>
      <w:pPr>
        <w:ind w:left="2880" w:hanging="360"/>
      </w:pPr>
      <w:rPr>
        <w:rFonts w:ascii="Symbol" w:hAnsi="Symbol" w:hint="default"/>
      </w:rPr>
    </w:lvl>
    <w:lvl w:ilvl="4" w:tplc="4F32C6AC" w:tentative="1">
      <w:start w:val="1"/>
      <w:numFmt w:val="bullet"/>
      <w:lvlText w:val="o"/>
      <w:lvlJc w:val="left"/>
      <w:pPr>
        <w:ind w:left="3600" w:hanging="360"/>
      </w:pPr>
      <w:rPr>
        <w:rFonts w:ascii="Courier New" w:hAnsi="Courier New" w:cs="Courier New" w:hint="default"/>
      </w:rPr>
    </w:lvl>
    <w:lvl w:ilvl="5" w:tplc="42647212" w:tentative="1">
      <w:start w:val="1"/>
      <w:numFmt w:val="bullet"/>
      <w:lvlText w:val=""/>
      <w:lvlJc w:val="left"/>
      <w:pPr>
        <w:ind w:left="4320" w:hanging="360"/>
      </w:pPr>
      <w:rPr>
        <w:rFonts w:ascii="Wingdings" w:hAnsi="Wingdings" w:hint="default"/>
      </w:rPr>
    </w:lvl>
    <w:lvl w:ilvl="6" w:tplc="92AEC84C" w:tentative="1">
      <w:start w:val="1"/>
      <w:numFmt w:val="bullet"/>
      <w:lvlText w:val=""/>
      <w:lvlJc w:val="left"/>
      <w:pPr>
        <w:ind w:left="5040" w:hanging="360"/>
      </w:pPr>
      <w:rPr>
        <w:rFonts w:ascii="Symbol" w:hAnsi="Symbol" w:hint="default"/>
      </w:rPr>
    </w:lvl>
    <w:lvl w:ilvl="7" w:tplc="8E3C3A18" w:tentative="1">
      <w:start w:val="1"/>
      <w:numFmt w:val="bullet"/>
      <w:lvlText w:val="o"/>
      <w:lvlJc w:val="left"/>
      <w:pPr>
        <w:ind w:left="5760" w:hanging="360"/>
      </w:pPr>
      <w:rPr>
        <w:rFonts w:ascii="Courier New" w:hAnsi="Courier New" w:cs="Courier New" w:hint="default"/>
      </w:rPr>
    </w:lvl>
    <w:lvl w:ilvl="8" w:tplc="17A8F68E" w:tentative="1">
      <w:start w:val="1"/>
      <w:numFmt w:val="bullet"/>
      <w:lvlText w:val=""/>
      <w:lvlJc w:val="left"/>
      <w:pPr>
        <w:ind w:left="6480" w:hanging="360"/>
      </w:pPr>
      <w:rPr>
        <w:rFonts w:ascii="Wingdings" w:hAnsi="Wingdings" w:hint="default"/>
      </w:rPr>
    </w:lvl>
  </w:abstractNum>
  <w:abstractNum w:abstractNumId="15" w15:restartNumberingAfterBreak="0">
    <w:nsid w:val="419F30E1"/>
    <w:multiLevelType w:val="hybridMultilevel"/>
    <w:tmpl w:val="DF7661A6"/>
    <w:lvl w:ilvl="0" w:tplc="2BA4BC88">
      <w:start w:val="1"/>
      <w:numFmt w:val="bullet"/>
      <w:lvlText w:val=""/>
      <w:lvlJc w:val="left"/>
      <w:pPr>
        <w:ind w:left="720" w:hanging="360"/>
      </w:pPr>
      <w:rPr>
        <w:rFonts w:ascii="Wingdings" w:hAnsi="Wingdings" w:hint="default"/>
        <w:sz w:val="16"/>
      </w:rPr>
    </w:lvl>
    <w:lvl w:ilvl="1" w:tplc="651A270C" w:tentative="1">
      <w:start w:val="1"/>
      <w:numFmt w:val="bullet"/>
      <w:lvlText w:val="o"/>
      <w:lvlJc w:val="left"/>
      <w:pPr>
        <w:ind w:left="1440" w:hanging="360"/>
      </w:pPr>
      <w:rPr>
        <w:rFonts w:ascii="Courier New" w:hAnsi="Courier New" w:cs="Courier New" w:hint="default"/>
      </w:rPr>
    </w:lvl>
    <w:lvl w:ilvl="2" w:tplc="55180950" w:tentative="1">
      <w:start w:val="1"/>
      <w:numFmt w:val="bullet"/>
      <w:lvlText w:val=""/>
      <w:lvlJc w:val="left"/>
      <w:pPr>
        <w:ind w:left="2160" w:hanging="360"/>
      </w:pPr>
      <w:rPr>
        <w:rFonts w:ascii="Wingdings" w:hAnsi="Wingdings" w:hint="default"/>
      </w:rPr>
    </w:lvl>
    <w:lvl w:ilvl="3" w:tplc="81C86B46" w:tentative="1">
      <w:start w:val="1"/>
      <w:numFmt w:val="bullet"/>
      <w:lvlText w:val=""/>
      <w:lvlJc w:val="left"/>
      <w:pPr>
        <w:ind w:left="2880" w:hanging="360"/>
      </w:pPr>
      <w:rPr>
        <w:rFonts w:ascii="Symbol" w:hAnsi="Symbol" w:hint="default"/>
      </w:rPr>
    </w:lvl>
    <w:lvl w:ilvl="4" w:tplc="E04ECA58" w:tentative="1">
      <w:start w:val="1"/>
      <w:numFmt w:val="bullet"/>
      <w:lvlText w:val="o"/>
      <w:lvlJc w:val="left"/>
      <w:pPr>
        <w:ind w:left="3600" w:hanging="360"/>
      </w:pPr>
      <w:rPr>
        <w:rFonts w:ascii="Courier New" w:hAnsi="Courier New" w:cs="Courier New" w:hint="default"/>
      </w:rPr>
    </w:lvl>
    <w:lvl w:ilvl="5" w:tplc="30909528" w:tentative="1">
      <w:start w:val="1"/>
      <w:numFmt w:val="bullet"/>
      <w:lvlText w:val=""/>
      <w:lvlJc w:val="left"/>
      <w:pPr>
        <w:ind w:left="4320" w:hanging="360"/>
      </w:pPr>
      <w:rPr>
        <w:rFonts w:ascii="Wingdings" w:hAnsi="Wingdings" w:hint="default"/>
      </w:rPr>
    </w:lvl>
    <w:lvl w:ilvl="6" w:tplc="9976B586" w:tentative="1">
      <w:start w:val="1"/>
      <w:numFmt w:val="bullet"/>
      <w:lvlText w:val=""/>
      <w:lvlJc w:val="left"/>
      <w:pPr>
        <w:ind w:left="5040" w:hanging="360"/>
      </w:pPr>
      <w:rPr>
        <w:rFonts w:ascii="Symbol" w:hAnsi="Symbol" w:hint="default"/>
      </w:rPr>
    </w:lvl>
    <w:lvl w:ilvl="7" w:tplc="799E1266" w:tentative="1">
      <w:start w:val="1"/>
      <w:numFmt w:val="bullet"/>
      <w:lvlText w:val="o"/>
      <w:lvlJc w:val="left"/>
      <w:pPr>
        <w:ind w:left="5760" w:hanging="360"/>
      </w:pPr>
      <w:rPr>
        <w:rFonts w:ascii="Courier New" w:hAnsi="Courier New" w:cs="Courier New" w:hint="default"/>
      </w:rPr>
    </w:lvl>
    <w:lvl w:ilvl="8" w:tplc="32C06ECC" w:tentative="1">
      <w:start w:val="1"/>
      <w:numFmt w:val="bullet"/>
      <w:lvlText w:val=""/>
      <w:lvlJc w:val="left"/>
      <w:pPr>
        <w:ind w:left="6480" w:hanging="360"/>
      </w:pPr>
      <w:rPr>
        <w:rFonts w:ascii="Wingdings" w:hAnsi="Wingdings" w:hint="default"/>
      </w:rPr>
    </w:lvl>
  </w:abstractNum>
  <w:abstractNum w:abstractNumId="16" w15:restartNumberingAfterBreak="0">
    <w:nsid w:val="42713081"/>
    <w:multiLevelType w:val="hybridMultilevel"/>
    <w:tmpl w:val="E61EB520"/>
    <w:lvl w:ilvl="0" w:tplc="7FAEBE14">
      <w:start w:val="1"/>
      <w:numFmt w:val="bullet"/>
      <w:lvlText w:val=""/>
      <w:lvlJc w:val="left"/>
      <w:pPr>
        <w:ind w:left="720" w:hanging="360"/>
      </w:pPr>
      <w:rPr>
        <w:rFonts w:ascii="Wingdings" w:hAnsi="Wingdings" w:hint="default"/>
        <w:b/>
        <w:i w:val="0"/>
        <w:color w:val="06B0E3"/>
        <w:sz w:val="28"/>
      </w:rPr>
    </w:lvl>
    <w:lvl w:ilvl="1" w:tplc="AA424D54" w:tentative="1">
      <w:start w:val="1"/>
      <w:numFmt w:val="bullet"/>
      <w:lvlText w:val="o"/>
      <w:lvlJc w:val="left"/>
      <w:pPr>
        <w:ind w:left="1440" w:hanging="360"/>
      </w:pPr>
      <w:rPr>
        <w:rFonts w:ascii="Courier New" w:hAnsi="Courier New" w:cs="Courier New" w:hint="default"/>
      </w:rPr>
    </w:lvl>
    <w:lvl w:ilvl="2" w:tplc="153A9520" w:tentative="1">
      <w:start w:val="1"/>
      <w:numFmt w:val="bullet"/>
      <w:lvlText w:val=""/>
      <w:lvlJc w:val="left"/>
      <w:pPr>
        <w:ind w:left="2160" w:hanging="360"/>
      </w:pPr>
      <w:rPr>
        <w:rFonts w:ascii="Wingdings" w:hAnsi="Wingdings" w:hint="default"/>
      </w:rPr>
    </w:lvl>
    <w:lvl w:ilvl="3" w:tplc="6A022620" w:tentative="1">
      <w:start w:val="1"/>
      <w:numFmt w:val="bullet"/>
      <w:lvlText w:val=""/>
      <w:lvlJc w:val="left"/>
      <w:pPr>
        <w:ind w:left="2880" w:hanging="360"/>
      </w:pPr>
      <w:rPr>
        <w:rFonts w:ascii="Symbol" w:hAnsi="Symbol" w:hint="default"/>
      </w:rPr>
    </w:lvl>
    <w:lvl w:ilvl="4" w:tplc="269C7EF4" w:tentative="1">
      <w:start w:val="1"/>
      <w:numFmt w:val="bullet"/>
      <w:lvlText w:val="o"/>
      <w:lvlJc w:val="left"/>
      <w:pPr>
        <w:ind w:left="3600" w:hanging="360"/>
      </w:pPr>
      <w:rPr>
        <w:rFonts w:ascii="Courier New" w:hAnsi="Courier New" w:cs="Courier New" w:hint="default"/>
      </w:rPr>
    </w:lvl>
    <w:lvl w:ilvl="5" w:tplc="EB1891EE" w:tentative="1">
      <w:start w:val="1"/>
      <w:numFmt w:val="bullet"/>
      <w:lvlText w:val=""/>
      <w:lvlJc w:val="left"/>
      <w:pPr>
        <w:ind w:left="4320" w:hanging="360"/>
      </w:pPr>
      <w:rPr>
        <w:rFonts w:ascii="Wingdings" w:hAnsi="Wingdings" w:hint="default"/>
      </w:rPr>
    </w:lvl>
    <w:lvl w:ilvl="6" w:tplc="EEA03802" w:tentative="1">
      <w:start w:val="1"/>
      <w:numFmt w:val="bullet"/>
      <w:lvlText w:val=""/>
      <w:lvlJc w:val="left"/>
      <w:pPr>
        <w:ind w:left="5040" w:hanging="360"/>
      </w:pPr>
      <w:rPr>
        <w:rFonts w:ascii="Symbol" w:hAnsi="Symbol" w:hint="default"/>
      </w:rPr>
    </w:lvl>
    <w:lvl w:ilvl="7" w:tplc="2CBA50D8" w:tentative="1">
      <w:start w:val="1"/>
      <w:numFmt w:val="bullet"/>
      <w:lvlText w:val="o"/>
      <w:lvlJc w:val="left"/>
      <w:pPr>
        <w:ind w:left="5760" w:hanging="360"/>
      </w:pPr>
      <w:rPr>
        <w:rFonts w:ascii="Courier New" w:hAnsi="Courier New" w:cs="Courier New" w:hint="default"/>
      </w:rPr>
    </w:lvl>
    <w:lvl w:ilvl="8" w:tplc="D1482D3A" w:tentative="1">
      <w:start w:val="1"/>
      <w:numFmt w:val="bullet"/>
      <w:lvlText w:val=""/>
      <w:lvlJc w:val="left"/>
      <w:pPr>
        <w:ind w:left="6480" w:hanging="360"/>
      </w:pPr>
      <w:rPr>
        <w:rFonts w:ascii="Wingdings" w:hAnsi="Wingdings" w:hint="default"/>
      </w:rPr>
    </w:lvl>
  </w:abstractNum>
  <w:abstractNum w:abstractNumId="17" w15:restartNumberingAfterBreak="0">
    <w:nsid w:val="4F8739C6"/>
    <w:multiLevelType w:val="hybridMultilevel"/>
    <w:tmpl w:val="2E26C758"/>
    <w:lvl w:ilvl="0" w:tplc="CE6E0632">
      <w:start w:val="1"/>
      <w:numFmt w:val="bullet"/>
      <w:lvlText w:val=""/>
      <w:lvlJc w:val="left"/>
      <w:pPr>
        <w:ind w:left="720" w:hanging="360"/>
      </w:pPr>
      <w:rPr>
        <w:rFonts w:ascii="Symbol" w:hAnsi="Symbol" w:hint="default"/>
      </w:rPr>
    </w:lvl>
    <w:lvl w:ilvl="1" w:tplc="F37A57A8" w:tentative="1">
      <w:start w:val="1"/>
      <w:numFmt w:val="bullet"/>
      <w:lvlText w:val="o"/>
      <w:lvlJc w:val="left"/>
      <w:pPr>
        <w:ind w:left="1440" w:hanging="360"/>
      </w:pPr>
      <w:rPr>
        <w:rFonts w:ascii="Courier New" w:hAnsi="Courier New" w:cs="Courier New" w:hint="default"/>
      </w:rPr>
    </w:lvl>
    <w:lvl w:ilvl="2" w:tplc="4770F00A" w:tentative="1">
      <w:start w:val="1"/>
      <w:numFmt w:val="bullet"/>
      <w:lvlText w:val=""/>
      <w:lvlJc w:val="left"/>
      <w:pPr>
        <w:ind w:left="2160" w:hanging="360"/>
      </w:pPr>
      <w:rPr>
        <w:rFonts w:ascii="Wingdings" w:hAnsi="Wingdings" w:hint="default"/>
      </w:rPr>
    </w:lvl>
    <w:lvl w:ilvl="3" w:tplc="318E6266" w:tentative="1">
      <w:start w:val="1"/>
      <w:numFmt w:val="bullet"/>
      <w:lvlText w:val=""/>
      <w:lvlJc w:val="left"/>
      <w:pPr>
        <w:ind w:left="2880" w:hanging="360"/>
      </w:pPr>
      <w:rPr>
        <w:rFonts w:ascii="Symbol" w:hAnsi="Symbol" w:hint="default"/>
      </w:rPr>
    </w:lvl>
    <w:lvl w:ilvl="4" w:tplc="7C822F06" w:tentative="1">
      <w:start w:val="1"/>
      <w:numFmt w:val="bullet"/>
      <w:lvlText w:val="o"/>
      <w:lvlJc w:val="left"/>
      <w:pPr>
        <w:ind w:left="3600" w:hanging="360"/>
      </w:pPr>
      <w:rPr>
        <w:rFonts w:ascii="Courier New" w:hAnsi="Courier New" w:cs="Courier New" w:hint="default"/>
      </w:rPr>
    </w:lvl>
    <w:lvl w:ilvl="5" w:tplc="64CEC8BE" w:tentative="1">
      <w:start w:val="1"/>
      <w:numFmt w:val="bullet"/>
      <w:lvlText w:val=""/>
      <w:lvlJc w:val="left"/>
      <w:pPr>
        <w:ind w:left="4320" w:hanging="360"/>
      </w:pPr>
      <w:rPr>
        <w:rFonts w:ascii="Wingdings" w:hAnsi="Wingdings" w:hint="default"/>
      </w:rPr>
    </w:lvl>
    <w:lvl w:ilvl="6" w:tplc="CD2A4CFA" w:tentative="1">
      <w:start w:val="1"/>
      <w:numFmt w:val="bullet"/>
      <w:lvlText w:val=""/>
      <w:lvlJc w:val="left"/>
      <w:pPr>
        <w:ind w:left="5040" w:hanging="360"/>
      </w:pPr>
      <w:rPr>
        <w:rFonts w:ascii="Symbol" w:hAnsi="Symbol" w:hint="default"/>
      </w:rPr>
    </w:lvl>
    <w:lvl w:ilvl="7" w:tplc="612C2B10" w:tentative="1">
      <w:start w:val="1"/>
      <w:numFmt w:val="bullet"/>
      <w:lvlText w:val="o"/>
      <w:lvlJc w:val="left"/>
      <w:pPr>
        <w:ind w:left="5760" w:hanging="360"/>
      </w:pPr>
      <w:rPr>
        <w:rFonts w:ascii="Courier New" w:hAnsi="Courier New" w:cs="Courier New" w:hint="default"/>
      </w:rPr>
    </w:lvl>
    <w:lvl w:ilvl="8" w:tplc="76AC3BFE" w:tentative="1">
      <w:start w:val="1"/>
      <w:numFmt w:val="bullet"/>
      <w:lvlText w:val=""/>
      <w:lvlJc w:val="left"/>
      <w:pPr>
        <w:ind w:left="6480" w:hanging="360"/>
      </w:pPr>
      <w:rPr>
        <w:rFonts w:ascii="Wingdings" w:hAnsi="Wingdings" w:hint="default"/>
      </w:rPr>
    </w:lvl>
  </w:abstractNum>
  <w:abstractNum w:abstractNumId="18" w15:restartNumberingAfterBreak="0">
    <w:nsid w:val="5B6F0A96"/>
    <w:multiLevelType w:val="hybridMultilevel"/>
    <w:tmpl w:val="81CCF130"/>
    <w:lvl w:ilvl="0" w:tplc="AA121D24">
      <w:start w:val="1"/>
      <w:numFmt w:val="bullet"/>
      <w:lvlText w:val=""/>
      <w:lvlJc w:val="left"/>
      <w:pPr>
        <w:ind w:left="720" w:hanging="360"/>
      </w:pPr>
      <w:rPr>
        <w:rFonts w:ascii="Wingdings" w:hAnsi="Wingdings" w:hint="default"/>
        <w:sz w:val="16"/>
      </w:rPr>
    </w:lvl>
    <w:lvl w:ilvl="1" w:tplc="347AA078" w:tentative="1">
      <w:start w:val="1"/>
      <w:numFmt w:val="bullet"/>
      <w:lvlText w:val="o"/>
      <w:lvlJc w:val="left"/>
      <w:pPr>
        <w:ind w:left="1440" w:hanging="360"/>
      </w:pPr>
      <w:rPr>
        <w:rFonts w:ascii="Courier New" w:hAnsi="Courier New" w:cs="Courier New" w:hint="default"/>
      </w:rPr>
    </w:lvl>
    <w:lvl w:ilvl="2" w:tplc="AB208054" w:tentative="1">
      <w:start w:val="1"/>
      <w:numFmt w:val="bullet"/>
      <w:lvlText w:val=""/>
      <w:lvlJc w:val="left"/>
      <w:pPr>
        <w:ind w:left="2160" w:hanging="360"/>
      </w:pPr>
      <w:rPr>
        <w:rFonts w:ascii="Wingdings" w:hAnsi="Wingdings" w:hint="default"/>
      </w:rPr>
    </w:lvl>
    <w:lvl w:ilvl="3" w:tplc="A2726CA8" w:tentative="1">
      <w:start w:val="1"/>
      <w:numFmt w:val="bullet"/>
      <w:lvlText w:val=""/>
      <w:lvlJc w:val="left"/>
      <w:pPr>
        <w:ind w:left="2880" w:hanging="360"/>
      </w:pPr>
      <w:rPr>
        <w:rFonts w:ascii="Symbol" w:hAnsi="Symbol" w:hint="default"/>
      </w:rPr>
    </w:lvl>
    <w:lvl w:ilvl="4" w:tplc="F3BC3334" w:tentative="1">
      <w:start w:val="1"/>
      <w:numFmt w:val="bullet"/>
      <w:lvlText w:val="o"/>
      <w:lvlJc w:val="left"/>
      <w:pPr>
        <w:ind w:left="3600" w:hanging="360"/>
      </w:pPr>
      <w:rPr>
        <w:rFonts w:ascii="Courier New" w:hAnsi="Courier New" w:cs="Courier New" w:hint="default"/>
      </w:rPr>
    </w:lvl>
    <w:lvl w:ilvl="5" w:tplc="A1A8295A" w:tentative="1">
      <w:start w:val="1"/>
      <w:numFmt w:val="bullet"/>
      <w:lvlText w:val=""/>
      <w:lvlJc w:val="left"/>
      <w:pPr>
        <w:ind w:left="4320" w:hanging="360"/>
      </w:pPr>
      <w:rPr>
        <w:rFonts w:ascii="Wingdings" w:hAnsi="Wingdings" w:hint="default"/>
      </w:rPr>
    </w:lvl>
    <w:lvl w:ilvl="6" w:tplc="B06EE788" w:tentative="1">
      <w:start w:val="1"/>
      <w:numFmt w:val="bullet"/>
      <w:lvlText w:val=""/>
      <w:lvlJc w:val="left"/>
      <w:pPr>
        <w:ind w:left="5040" w:hanging="360"/>
      </w:pPr>
      <w:rPr>
        <w:rFonts w:ascii="Symbol" w:hAnsi="Symbol" w:hint="default"/>
      </w:rPr>
    </w:lvl>
    <w:lvl w:ilvl="7" w:tplc="CE366F3E" w:tentative="1">
      <w:start w:val="1"/>
      <w:numFmt w:val="bullet"/>
      <w:lvlText w:val="o"/>
      <w:lvlJc w:val="left"/>
      <w:pPr>
        <w:ind w:left="5760" w:hanging="360"/>
      </w:pPr>
      <w:rPr>
        <w:rFonts w:ascii="Courier New" w:hAnsi="Courier New" w:cs="Courier New" w:hint="default"/>
      </w:rPr>
    </w:lvl>
    <w:lvl w:ilvl="8" w:tplc="0EAADFC8" w:tentative="1">
      <w:start w:val="1"/>
      <w:numFmt w:val="bullet"/>
      <w:lvlText w:val=""/>
      <w:lvlJc w:val="left"/>
      <w:pPr>
        <w:ind w:left="6480" w:hanging="360"/>
      </w:pPr>
      <w:rPr>
        <w:rFonts w:ascii="Wingdings" w:hAnsi="Wingdings" w:hint="default"/>
      </w:rPr>
    </w:lvl>
  </w:abstractNum>
  <w:abstractNum w:abstractNumId="19" w15:restartNumberingAfterBreak="0">
    <w:nsid w:val="60B55D22"/>
    <w:multiLevelType w:val="hybridMultilevel"/>
    <w:tmpl w:val="78549228"/>
    <w:lvl w:ilvl="0" w:tplc="CA5C9EA6">
      <w:start w:val="1"/>
      <w:numFmt w:val="bullet"/>
      <w:lvlText w:val=""/>
      <w:lvlJc w:val="left"/>
      <w:pPr>
        <w:ind w:left="720" w:hanging="360"/>
      </w:pPr>
      <w:rPr>
        <w:rFonts w:ascii="Wingdings" w:hAnsi="Wingdings" w:hint="default"/>
        <w:sz w:val="16"/>
      </w:rPr>
    </w:lvl>
    <w:lvl w:ilvl="1" w:tplc="B6988426" w:tentative="1">
      <w:start w:val="1"/>
      <w:numFmt w:val="bullet"/>
      <w:lvlText w:val="o"/>
      <w:lvlJc w:val="left"/>
      <w:pPr>
        <w:ind w:left="1440" w:hanging="360"/>
      </w:pPr>
      <w:rPr>
        <w:rFonts w:ascii="Courier New" w:hAnsi="Courier New" w:cs="Courier New" w:hint="default"/>
      </w:rPr>
    </w:lvl>
    <w:lvl w:ilvl="2" w:tplc="22382478" w:tentative="1">
      <w:start w:val="1"/>
      <w:numFmt w:val="bullet"/>
      <w:lvlText w:val=""/>
      <w:lvlJc w:val="left"/>
      <w:pPr>
        <w:ind w:left="2160" w:hanging="360"/>
      </w:pPr>
      <w:rPr>
        <w:rFonts w:ascii="Wingdings" w:hAnsi="Wingdings" w:hint="default"/>
      </w:rPr>
    </w:lvl>
    <w:lvl w:ilvl="3" w:tplc="5502C97A" w:tentative="1">
      <w:start w:val="1"/>
      <w:numFmt w:val="bullet"/>
      <w:lvlText w:val=""/>
      <w:lvlJc w:val="left"/>
      <w:pPr>
        <w:ind w:left="2880" w:hanging="360"/>
      </w:pPr>
      <w:rPr>
        <w:rFonts w:ascii="Symbol" w:hAnsi="Symbol" w:hint="default"/>
      </w:rPr>
    </w:lvl>
    <w:lvl w:ilvl="4" w:tplc="09B4814E" w:tentative="1">
      <w:start w:val="1"/>
      <w:numFmt w:val="bullet"/>
      <w:lvlText w:val="o"/>
      <w:lvlJc w:val="left"/>
      <w:pPr>
        <w:ind w:left="3600" w:hanging="360"/>
      </w:pPr>
      <w:rPr>
        <w:rFonts w:ascii="Courier New" w:hAnsi="Courier New" w:cs="Courier New" w:hint="default"/>
      </w:rPr>
    </w:lvl>
    <w:lvl w:ilvl="5" w:tplc="1362EDD8" w:tentative="1">
      <w:start w:val="1"/>
      <w:numFmt w:val="bullet"/>
      <w:lvlText w:val=""/>
      <w:lvlJc w:val="left"/>
      <w:pPr>
        <w:ind w:left="4320" w:hanging="360"/>
      </w:pPr>
      <w:rPr>
        <w:rFonts w:ascii="Wingdings" w:hAnsi="Wingdings" w:hint="default"/>
      </w:rPr>
    </w:lvl>
    <w:lvl w:ilvl="6" w:tplc="2AC8C6FA" w:tentative="1">
      <w:start w:val="1"/>
      <w:numFmt w:val="bullet"/>
      <w:lvlText w:val=""/>
      <w:lvlJc w:val="left"/>
      <w:pPr>
        <w:ind w:left="5040" w:hanging="360"/>
      </w:pPr>
      <w:rPr>
        <w:rFonts w:ascii="Symbol" w:hAnsi="Symbol" w:hint="default"/>
      </w:rPr>
    </w:lvl>
    <w:lvl w:ilvl="7" w:tplc="22DA85C2" w:tentative="1">
      <w:start w:val="1"/>
      <w:numFmt w:val="bullet"/>
      <w:lvlText w:val="o"/>
      <w:lvlJc w:val="left"/>
      <w:pPr>
        <w:ind w:left="5760" w:hanging="360"/>
      </w:pPr>
      <w:rPr>
        <w:rFonts w:ascii="Courier New" w:hAnsi="Courier New" w:cs="Courier New" w:hint="default"/>
      </w:rPr>
    </w:lvl>
    <w:lvl w:ilvl="8" w:tplc="0A5E308C" w:tentative="1">
      <w:start w:val="1"/>
      <w:numFmt w:val="bullet"/>
      <w:lvlText w:val=""/>
      <w:lvlJc w:val="left"/>
      <w:pPr>
        <w:ind w:left="6480" w:hanging="360"/>
      </w:pPr>
      <w:rPr>
        <w:rFonts w:ascii="Wingdings" w:hAnsi="Wingdings" w:hint="default"/>
      </w:rPr>
    </w:lvl>
  </w:abstractNum>
  <w:abstractNum w:abstractNumId="20" w15:restartNumberingAfterBreak="0">
    <w:nsid w:val="643805EC"/>
    <w:multiLevelType w:val="hybridMultilevel"/>
    <w:tmpl w:val="CF24430A"/>
    <w:lvl w:ilvl="0" w:tplc="2FD8E782">
      <w:start w:val="1"/>
      <w:numFmt w:val="bullet"/>
      <w:lvlText w:val=""/>
      <w:lvlJc w:val="left"/>
      <w:pPr>
        <w:ind w:left="720" w:hanging="360"/>
      </w:pPr>
      <w:rPr>
        <w:rFonts w:ascii="Wingdings" w:hAnsi="Wingdings" w:hint="default"/>
        <w:b/>
        <w:i w:val="0"/>
        <w:color w:val="06B0E3"/>
        <w:sz w:val="28"/>
      </w:rPr>
    </w:lvl>
    <w:lvl w:ilvl="1" w:tplc="2E1AFACE" w:tentative="1">
      <w:start w:val="1"/>
      <w:numFmt w:val="bullet"/>
      <w:lvlText w:val="o"/>
      <w:lvlJc w:val="left"/>
      <w:pPr>
        <w:ind w:left="1440" w:hanging="360"/>
      </w:pPr>
      <w:rPr>
        <w:rFonts w:ascii="Courier New" w:hAnsi="Courier New" w:cs="Courier New" w:hint="default"/>
      </w:rPr>
    </w:lvl>
    <w:lvl w:ilvl="2" w:tplc="6A5A8EF6" w:tentative="1">
      <w:start w:val="1"/>
      <w:numFmt w:val="bullet"/>
      <w:lvlText w:val=""/>
      <w:lvlJc w:val="left"/>
      <w:pPr>
        <w:ind w:left="2160" w:hanging="360"/>
      </w:pPr>
      <w:rPr>
        <w:rFonts w:ascii="Wingdings" w:hAnsi="Wingdings" w:hint="default"/>
      </w:rPr>
    </w:lvl>
    <w:lvl w:ilvl="3" w:tplc="E2742E70" w:tentative="1">
      <w:start w:val="1"/>
      <w:numFmt w:val="bullet"/>
      <w:lvlText w:val=""/>
      <w:lvlJc w:val="left"/>
      <w:pPr>
        <w:ind w:left="2880" w:hanging="360"/>
      </w:pPr>
      <w:rPr>
        <w:rFonts w:ascii="Symbol" w:hAnsi="Symbol" w:hint="default"/>
      </w:rPr>
    </w:lvl>
    <w:lvl w:ilvl="4" w:tplc="042096C8" w:tentative="1">
      <w:start w:val="1"/>
      <w:numFmt w:val="bullet"/>
      <w:lvlText w:val="o"/>
      <w:lvlJc w:val="left"/>
      <w:pPr>
        <w:ind w:left="3600" w:hanging="360"/>
      </w:pPr>
      <w:rPr>
        <w:rFonts w:ascii="Courier New" w:hAnsi="Courier New" w:cs="Courier New" w:hint="default"/>
      </w:rPr>
    </w:lvl>
    <w:lvl w:ilvl="5" w:tplc="DD9A15AE" w:tentative="1">
      <w:start w:val="1"/>
      <w:numFmt w:val="bullet"/>
      <w:lvlText w:val=""/>
      <w:lvlJc w:val="left"/>
      <w:pPr>
        <w:ind w:left="4320" w:hanging="360"/>
      </w:pPr>
      <w:rPr>
        <w:rFonts w:ascii="Wingdings" w:hAnsi="Wingdings" w:hint="default"/>
      </w:rPr>
    </w:lvl>
    <w:lvl w:ilvl="6" w:tplc="2ADA735A" w:tentative="1">
      <w:start w:val="1"/>
      <w:numFmt w:val="bullet"/>
      <w:lvlText w:val=""/>
      <w:lvlJc w:val="left"/>
      <w:pPr>
        <w:ind w:left="5040" w:hanging="360"/>
      </w:pPr>
      <w:rPr>
        <w:rFonts w:ascii="Symbol" w:hAnsi="Symbol" w:hint="default"/>
      </w:rPr>
    </w:lvl>
    <w:lvl w:ilvl="7" w:tplc="CF4C5610" w:tentative="1">
      <w:start w:val="1"/>
      <w:numFmt w:val="bullet"/>
      <w:lvlText w:val="o"/>
      <w:lvlJc w:val="left"/>
      <w:pPr>
        <w:ind w:left="5760" w:hanging="360"/>
      </w:pPr>
      <w:rPr>
        <w:rFonts w:ascii="Courier New" w:hAnsi="Courier New" w:cs="Courier New" w:hint="default"/>
      </w:rPr>
    </w:lvl>
    <w:lvl w:ilvl="8" w:tplc="11F0941E" w:tentative="1">
      <w:start w:val="1"/>
      <w:numFmt w:val="bullet"/>
      <w:lvlText w:val=""/>
      <w:lvlJc w:val="left"/>
      <w:pPr>
        <w:ind w:left="6480" w:hanging="360"/>
      </w:pPr>
      <w:rPr>
        <w:rFonts w:ascii="Wingdings" w:hAnsi="Wingdings" w:hint="default"/>
      </w:rPr>
    </w:lvl>
  </w:abstractNum>
  <w:abstractNum w:abstractNumId="21" w15:restartNumberingAfterBreak="0">
    <w:nsid w:val="6F346A19"/>
    <w:multiLevelType w:val="hybridMultilevel"/>
    <w:tmpl w:val="A2763910"/>
    <w:lvl w:ilvl="0" w:tplc="CE669D76">
      <w:start w:val="1"/>
      <w:numFmt w:val="bullet"/>
      <w:pStyle w:val="H-BulletList0"/>
      <w:lvlText w:val=""/>
      <w:lvlJc w:val="left"/>
      <w:pPr>
        <w:ind w:left="288" w:hanging="216"/>
      </w:pPr>
      <w:rPr>
        <w:rFonts w:ascii="Symbol" w:hAnsi="Symbol" w:hint="default"/>
        <w:sz w:val="20"/>
        <w:szCs w:val="20"/>
      </w:rPr>
    </w:lvl>
    <w:lvl w:ilvl="1" w:tplc="4EBE2980">
      <w:start w:val="1"/>
      <w:numFmt w:val="bullet"/>
      <w:lvlText w:val="o"/>
      <w:lvlJc w:val="left"/>
      <w:pPr>
        <w:ind w:left="504" w:hanging="144"/>
      </w:pPr>
      <w:rPr>
        <w:rFonts w:ascii="Courier New" w:hAnsi="Courier New" w:hint="default"/>
      </w:rPr>
    </w:lvl>
    <w:lvl w:ilvl="2" w:tplc="A118AE6E">
      <w:start w:val="1"/>
      <w:numFmt w:val="bullet"/>
      <w:lvlText w:val=""/>
      <w:lvlJc w:val="left"/>
      <w:pPr>
        <w:ind w:left="1008" w:hanging="288"/>
      </w:pPr>
      <w:rPr>
        <w:rFonts w:ascii="Wingdings" w:hAnsi="Wingdings" w:hint="default"/>
      </w:rPr>
    </w:lvl>
    <w:lvl w:ilvl="3" w:tplc="32B4A9B8" w:tentative="1">
      <w:start w:val="1"/>
      <w:numFmt w:val="bullet"/>
      <w:lvlText w:val=""/>
      <w:lvlJc w:val="left"/>
      <w:pPr>
        <w:ind w:left="2880" w:hanging="360"/>
      </w:pPr>
      <w:rPr>
        <w:rFonts w:ascii="Symbol" w:hAnsi="Symbol" w:hint="default"/>
      </w:rPr>
    </w:lvl>
    <w:lvl w:ilvl="4" w:tplc="9940C83A" w:tentative="1">
      <w:start w:val="1"/>
      <w:numFmt w:val="bullet"/>
      <w:lvlText w:val="o"/>
      <w:lvlJc w:val="left"/>
      <w:pPr>
        <w:ind w:left="3600" w:hanging="360"/>
      </w:pPr>
      <w:rPr>
        <w:rFonts w:ascii="Courier New" w:hAnsi="Courier New" w:cs="Courier New" w:hint="default"/>
      </w:rPr>
    </w:lvl>
    <w:lvl w:ilvl="5" w:tplc="F102875A" w:tentative="1">
      <w:start w:val="1"/>
      <w:numFmt w:val="bullet"/>
      <w:lvlText w:val=""/>
      <w:lvlJc w:val="left"/>
      <w:pPr>
        <w:ind w:left="4320" w:hanging="360"/>
      </w:pPr>
      <w:rPr>
        <w:rFonts w:ascii="Wingdings" w:hAnsi="Wingdings" w:hint="default"/>
      </w:rPr>
    </w:lvl>
    <w:lvl w:ilvl="6" w:tplc="E6D0678E" w:tentative="1">
      <w:start w:val="1"/>
      <w:numFmt w:val="bullet"/>
      <w:lvlText w:val=""/>
      <w:lvlJc w:val="left"/>
      <w:pPr>
        <w:ind w:left="5040" w:hanging="360"/>
      </w:pPr>
      <w:rPr>
        <w:rFonts w:ascii="Symbol" w:hAnsi="Symbol" w:hint="default"/>
      </w:rPr>
    </w:lvl>
    <w:lvl w:ilvl="7" w:tplc="0A7A3B98" w:tentative="1">
      <w:start w:val="1"/>
      <w:numFmt w:val="bullet"/>
      <w:lvlText w:val="o"/>
      <w:lvlJc w:val="left"/>
      <w:pPr>
        <w:ind w:left="5760" w:hanging="360"/>
      </w:pPr>
      <w:rPr>
        <w:rFonts w:ascii="Courier New" w:hAnsi="Courier New" w:cs="Courier New" w:hint="default"/>
      </w:rPr>
    </w:lvl>
    <w:lvl w:ilvl="8" w:tplc="9830D840" w:tentative="1">
      <w:start w:val="1"/>
      <w:numFmt w:val="bullet"/>
      <w:lvlText w:val=""/>
      <w:lvlJc w:val="left"/>
      <w:pPr>
        <w:ind w:left="6480" w:hanging="360"/>
      </w:pPr>
      <w:rPr>
        <w:rFonts w:ascii="Wingdings" w:hAnsi="Wingdings" w:hint="default"/>
      </w:rPr>
    </w:lvl>
  </w:abstractNum>
  <w:abstractNum w:abstractNumId="22" w15:restartNumberingAfterBreak="0">
    <w:nsid w:val="70D86126"/>
    <w:multiLevelType w:val="hybridMultilevel"/>
    <w:tmpl w:val="792E3A1A"/>
    <w:lvl w:ilvl="0" w:tplc="A9DC02BA">
      <w:start w:val="1"/>
      <w:numFmt w:val="decimal"/>
      <w:pStyle w:val="Numbering"/>
      <w:lvlText w:val="%1."/>
      <w:lvlJc w:val="left"/>
      <w:pPr>
        <w:ind w:left="576" w:hanging="216"/>
      </w:pPr>
      <w:rPr>
        <w:rFonts w:hint="default"/>
      </w:rPr>
    </w:lvl>
    <w:lvl w:ilvl="1" w:tplc="0482437E">
      <w:start w:val="1"/>
      <w:numFmt w:val="lowerLetter"/>
      <w:lvlText w:val="%2."/>
      <w:lvlJc w:val="left"/>
      <w:pPr>
        <w:ind w:left="936" w:hanging="216"/>
      </w:pPr>
      <w:rPr>
        <w:rFonts w:hint="default"/>
      </w:rPr>
    </w:lvl>
    <w:lvl w:ilvl="2" w:tplc="B4244E52">
      <w:start w:val="1"/>
      <w:numFmt w:val="lowerRoman"/>
      <w:lvlText w:val="%3."/>
      <w:lvlJc w:val="right"/>
      <w:pPr>
        <w:ind w:left="1296" w:hanging="216"/>
      </w:pPr>
      <w:rPr>
        <w:rFonts w:hint="default"/>
      </w:rPr>
    </w:lvl>
    <w:lvl w:ilvl="3" w:tplc="230AA4E6" w:tentative="1">
      <w:start w:val="1"/>
      <w:numFmt w:val="decimal"/>
      <w:lvlText w:val="%4."/>
      <w:lvlJc w:val="left"/>
      <w:pPr>
        <w:ind w:left="2880" w:hanging="360"/>
      </w:pPr>
    </w:lvl>
    <w:lvl w:ilvl="4" w:tplc="7CC62F70" w:tentative="1">
      <w:start w:val="1"/>
      <w:numFmt w:val="lowerLetter"/>
      <w:lvlText w:val="%5."/>
      <w:lvlJc w:val="left"/>
      <w:pPr>
        <w:ind w:left="3600" w:hanging="360"/>
      </w:pPr>
    </w:lvl>
    <w:lvl w:ilvl="5" w:tplc="5798BF6C" w:tentative="1">
      <w:start w:val="1"/>
      <w:numFmt w:val="lowerRoman"/>
      <w:lvlText w:val="%6."/>
      <w:lvlJc w:val="right"/>
      <w:pPr>
        <w:ind w:left="4320" w:hanging="180"/>
      </w:pPr>
    </w:lvl>
    <w:lvl w:ilvl="6" w:tplc="1BF6FF3C" w:tentative="1">
      <w:start w:val="1"/>
      <w:numFmt w:val="decimal"/>
      <w:lvlText w:val="%7."/>
      <w:lvlJc w:val="left"/>
      <w:pPr>
        <w:ind w:left="5040" w:hanging="360"/>
      </w:pPr>
    </w:lvl>
    <w:lvl w:ilvl="7" w:tplc="5FFA4FB6" w:tentative="1">
      <w:start w:val="1"/>
      <w:numFmt w:val="lowerLetter"/>
      <w:lvlText w:val="%8."/>
      <w:lvlJc w:val="left"/>
      <w:pPr>
        <w:ind w:left="5760" w:hanging="360"/>
      </w:pPr>
    </w:lvl>
    <w:lvl w:ilvl="8" w:tplc="8C005B08" w:tentative="1">
      <w:start w:val="1"/>
      <w:numFmt w:val="lowerRoman"/>
      <w:lvlText w:val="%9."/>
      <w:lvlJc w:val="right"/>
      <w:pPr>
        <w:ind w:left="6480" w:hanging="180"/>
      </w:pPr>
    </w:lvl>
  </w:abstractNum>
  <w:abstractNum w:abstractNumId="23" w15:restartNumberingAfterBreak="0">
    <w:nsid w:val="730B4ECD"/>
    <w:multiLevelType w:val="hybridMultilevel"/>
    <w:tmpl w:val="6C406044"/>
    <w:lvl w:ilvl="0" w:tplc="9D043750">
      <w:start w:val="1"/>
      <w:numFmt w:val="bullet"/>
      <w:pStyle w:val="BulletlistHighlight"/>
      <w:lvlText w:val=""/>
      <w:lvlJc w:val="left"/>
      <w:pPr>
        <w:ind w:left="288" w:hanging="288"/>
      </w:pPr>
      <w:rPr>
        <w:rFonts w:ascii="Symbol" w:hAnsi="Symbol" w:hint="default"/>
      </w:rPr>
    </w:lvl>
    <w:lvl w:ilvl="1" w:tplc="5E320ED4">
      <w:start w:val="1"/>
      <w:numFmt w:val="bullet"/>
      <w:lvlText w:val="o"/>
      <w:lvlJc w:val="left"/>
      <w:pPr>
        <w:ind w:left="576" w:hanging="216"/>
      </w:pPr>
      <w:rPr>
        <w:rFonts w:ascii="Courier New" w:hAnsi="Courier New" w:hint="default"/>
      </w:rPr>
    </w:lvl>
    <w:lvl w:ilvl="2" w:tplc="2EBEADFE">
      <w:start w:val="1"/>
      <w:numFmt w:val="bullet"/>
      <w:lvlText w:val=""/>
      <w:lvlJc w:val="left"/>
      <w:pPr>
        <w:ind w:left="864" w:hanging="216"/>
      </w:pPr>
      <w:rPr>
        <w:rFonts w:ascii="Wingdings" w:hAnsi="Wingdings" w:hint="default"/>
      </w:rPr>
    </w:lvl>
    <w:lvl w:ilvl="3" w:tplc="75A2293A" w:tentative="1">
      <w:start w:val="1"/>
      <w:numFmt w:val="bullet"/>
      <w:lvlText w:val=""/>
      <w:lvlJc w:val="left"/>
      <w:pPr>
        <w:ind w:left="2880" w:hanging="360"/>
      </w:pPr>
      <w:rPr>
        <w:rFonts w:ascii="Symbol" w:hAnsi="Symbol" w:hint="default"/>
      </w:rPr>
    </w:lvl>
    <w:lvl w:ilvl="4" w:tplc="098CBE62" w:tentative="1">
      <w:start w:val="1"/>
      <w:numFmt w:val="bullet"/>
      <w:lvlText w:val="o"/>
      <w:lvlJc w:val="left"/>
      <w:pPr>
        <w:ind w:left="3600" w:hanging="360"/>
      </w:pPr>
      <w:rPr>
        <w:rFonts w:ascii="Courier New" w:hAnsi="Courier New" w:cs="Courier New" w:hint="default"/>
      </w:rPr>
    </w:lvl>
    <w:lvl w:ilvl="5" w:tplc="46F44E54" w:tentative="1">
      <w:start w:val="1"/>
      <w:numFmt w:val="bullet"/>
      <w:lvlText w:val=""/>
      <w:lvlJc w:val="left"/>
      <w:pPr>
        <w:ind w:left="4320" w:hanging="360"/>
      </w:pPr>
      <w:rPr>
        <w:rFonts w:ascii="Wingdings" w:hAnsi="Wingdings" w:hint="default"/>
      </w:rPr>
    </w:lvl>
    <w:lvl w:ilvl="6" w:tplc="5EFC7594" w:tentative="1">
      <w:start w:val="1"/>
      <w:numFmt w:val="bullet"/>
      <w:lvlText w:val=""/>
      <w:lvlJc w:val="left"/>
      <w:pPr>
        <w:ind w:left="5040" w:hanging="360"/>
      </w:pPr>
      <w:rPr>
        <w:rFonts w:ascii="Symbol" w:hAnsi="Symbol" w:hint="default"/>
      </w:rPr>
    </w:lvl>
    <w:lvl w:ilvl="7" w:tplc="34923C26" w:tentative="1">
      <w:start w:val="1"/>
      <w:numFmt w:val="bullet"/>
      <w:lvlText w:val="o"/>
      <w:lvlJc w:val="left"/>
      <w:pPr>
        <w:ind w:left="5760" w:hanging="360"/>
      </w:pPr>
      <w:rPr>
        <w:rFonts w:ascii="Courier New" w:hAnsi="Courier New" w:cs="Courier New" w:hint="default"/>
      </w:rPr>
    </w:lvl>
    <w:lvl w:ilvl="8" w:tplc="D438E1DE" w:tentative="1">
      <w:start w:val="1"/>
      <w:numFmt w:val="bullet"/>
      <w:lvlText w:val=""/>
      <w:lvlJc w:val="left"/>
      <w:pPr>
        <w:ind w:left="6480" w:hanging="360"/>
      </w:pPr>
      <w:rPr>
        <w:rFonts w:ascii="Wingdings" w:hAnsi="Wingdings" w:hint="default"/>
      </w:rPr>
    </w:lvl>
  </w:abstractNum>
  <w:abstractNum w:abstractNumId="24" w15:restartNumberingAfterBreak="0">
    <w:nsid w:val="73C405C6"/>
    <w:multiLevelType w:val="hybridMultilevel"/>
    <w:tmpl w:val="70B64E5E"/>
    <w:lvl w:ilvl="0" w:tplc="54A4A8FC">
      <w:start w:val="1"/>
      <w:numFmt w:val="bullet"/>
      <w:lvlText w:val=""/>
      <w:lvlJc w:val="left"/>
      <w:pPr>
        <w:ind w:left="720" w:hanging="360"/>
      </w:pPr>
      <w:rPr>
        <w:rFonts w:ascii="Wingdings" w:hAnsi="Wingdings" w:hint="default"/>
        <w:sz w:val="16"/>
      </w:rPr>
    </w:lvl>
    <w:lvl w:ilvl="1" w:tplc="53C0873E" w:tentative="1">
      <w:start w:val="1"/>
      <w:numFmt w:val="bullet"/>
      <w:lvlText w:val="o"/>
      <w:lvlJc w:val="left"/>
      <w:pPr>
        <w:ind w:left="1440" w:hanging="360"/>
      </w:pPr>
      <w:rPr>
        <w:rFonts w:ascii="Courier New" w:hAnsi="Courier New" w:cs="Courier New" w:hint="default"/>
      </w:rPr>
    </w:lvl>
    <w:lvl w:ilvl="2" w:tplc="C4C092A6" w:tentative="1">
      <w:start w:val="1"/>
      <w:numFmt w:val="bullet"/>
      <w:lvlText w:val=""/>
      <w:lvlJc w:val="left"/>
      <w:pPr>
        <w:ind w:left="2160" w:hanging="360"/>
      </w:pPr>
      <w:rPr>
        <w:rFonts w:ascii="Wingdings" w:hAnsi="Wingdings" w:hint="default"/>
      </w:rPr>
    </w:lvl>
    <w:lvl w:ilvl="3" w:tplc="965CB8CA" w:tentative="1">
      <w:start w:val="1"/>
      <w:numFmt w:val="bullet"/>
      <w:lvlText w:val=""/>
      <w:lvlJc w:val="left"/>
      <w:pPr>
        <w:ind w:left="2880" w:hanging="360"/>
      </w:pPr>
      <w:rPr>
        <w:rFonts w:ascii="Symbol" w:hAnsi="Symbol" w:hint="default"/>
      </w:rPr>
    </w:lvl>
    <w:lvl w:ilvl="4" w:tplc="CC7C3320" w:tentative="1">
      <w:start w:val="1"/>
      <w:numFmt w:val="bullet"/>
      <w:lvlText w:val="o"/>
      <w:lvlJc w:val="left"/>
      <w:pPr>
        <w:ind w:left="3600" w:hanging="360"/>
      </w:pPr>
      <w:rPr>
        <w:rFonts w:ascii="Courier New" w:hAnsi="Courier New" w:cs="Courier New" w:hint="default"/>
      </w:rPr>
    </w:lvl>
    <w:lvl w:ilvl="5" w:tplc="C71C0BE2" w:tentative="1">
      <w:start w:val="1"/>
      <w:numFmt w:val="bullet"/>
      <w:lvlText w:val=""/>
      <w:lvlJc w:val="left"/>
      <w:pPr>
        <w:ind w:left="4320" w:hanging="360"/>
      </w:pPr>
      <w:rPr>
        <w:rFonts w:ascii="Wingdings" w:hAnsi="Wingdings" w:hint="default"/>
      </w:rPr>
    </w:lvl>
    <w:lvl w:ilvl="6" w:tplc="3392CFAE" w:tentative="1">
      <w:start w:val="1"/>
      <w:numFmt w:val="bullet"/>
      <w:lvlText w:val=""/>
      <w:lvlJc w:val="left"/>
      <w:pPr>
        <w:ind w:left="5040" w:hanging="360"/>
      </w:pPr>
      <w:rPr>
        <w:rFonts w:ascii="Symbol" w:hAnsi="Symbol" w:hint="default"/>
      </w:rPr>
    </w:lvl>
    <w:lvl w:ilvl="7" w:tplc="E1F06076" w:tentative="1">
      <w:start w:val="1"/>
      <w:numFmt w:val="bullet"/>
      <w:lvlText w:val="o"/>
      <w:lvlJc w:val="left"/>
      <w:pPr>
        <w:ind w:left="5760" w:hanging="360"/>
      </w:pPr>
      <w:rPr>
        <w:rFonts w:ascii="Courier New" w:hAnsi="Courier New" w:cs="Courier New" w:hint="default"/>
      </w:rPr>
    </w:lvl>
    <w:lvl w:ilvl="8" w:tplc="F1A4D952" w:tentative="1">
      <w:start w:val="1"/>
      <w:numFmt w:val="bullet"/>
      <w:lvlText w:val=""/>
      <w:lvlJc w:val="left"/>
      <w:pPr>
        <w:ind w:left="6480" w:hanging="360"/>
      </w:pPr>
      <w:rPr>
        <w:rFonts w:ascii="Wingdings" w:hAnsi="Wingdings" w:hint="default"/>
      </w:rPr>
    </w:lvl>
  </w:abstractNum>
  <w:abstractNum w:abstractNumId="25" w15:restartNumberingAfterBreak="0">
    <w:nsid w:val="74912014"/>
    <w:multiLevelType w:val="hybridMultilevel"/>
    <w:tmpl w:val="96747874"/>
    <w:lvl w:ilvl="0" w:tplc="2592AA72">
      <w:start w:val="1"/>
      <w:numFmt w:val="bullet"/>
      <w:pStyle w:val="Bullets"/>
      <w:lvlText w:val=""/>
      <w:lvlJc w:val="left"/>
      <w:pPr>
        <w:ind w:left="720" w:hanging="360"/>
      </w:pPr>
      <w:rPr>
        <w:rFonts w:ascii="Symbol" w:hAnsi="Symbol" w:hint="default"/>
        <w:b/>
        <w:color w:val="595959"/>
      </w:rPr>
    </w:lvl>
    <w:lvl w:ilvl="1" w:tplc="827AFC68" w:tentative="1">
      <w:start w:val="1"/>
      <w:numFmt w:val="bullet"/>
      <w:lvlText w:val="o"/>
      <w:lvlJc w:val="left"/>
      <w:pPr>
        <w:ind w:left="1440" w:hanging="360"/>
      </w:pPr>
      <w:rPr>
        <w:rFonts w:ascii="Courier New" w:hAnsi="Courier New" w:cs="Courier New" w:hint="default"/>
      </w:rPr>
    </w:lvl>
    <w:lvl w:ilvl="2" w:tplc="D1487516" w:tentative="1">
      <w:start w:val="1"/>
      <w:numFmt w:val="bullet"/>
      <w:lvlText w:val=""/>
      <w:lvlJc w:val="left"/>
      <w:pPr>
        <w:ind w:left="2160" w:hanging="360"/>
      </w:pPr>
      <w:rPr>
        <w:rFonts w:ascii="Wingdings" w:hAnsi="Wingdings" w:hint="default"/>
      </w:rPr>
    </w:lvl>
    <w:lvl w:ilvl="3" w:tplc="71B0ED7A" w:tentative="1">
      <w:start w:val="1"/>
      <w:numFmt w:val="bullet"/>
      <w:lvlText w:val=""/>
      <w:lvlJc w:val="left"/>
      <w:pPr>
        <w:ind w:left="2880" w:hanging="360"/>
      </w:pPr>
      <w:rPr>
        <w:rFonts w:ascii="Symbol" w:hAnsi="Symbol" w:hint="default"/>
      </w:rPr>
    </w:lvl>
    <w:lvl w:ilvl="4" w:tplc="00CCFE98" w:tentative="1">
      <w:start w:val="1"/>
      <w:numFmt w:val="bullet"/>
      <w:lvlText w:val="o"/>
      <w:lvlJc w:val="left"/>
      <w:pPr>
        <w:ind w:left="3600" w:hanging="360"/>
      </w:pPr>
      <w:rPr>
        <w:rFonts w:ascii="Courier New" w:hAnsi="Courier New" w:cs="Courier New" w:hint="default"/>
      </w:rPr>
    </w:lvl>
    <w:lvl w:ilvl="5" w:tplc="B96E24A0" w:tentative="1">
      <w:start w:val="1"/>
      <w:numFmt w:val="bullet"/>
      <w:lvlText w:val=""/>
      <w:lvlJc w:val="left"/>
      <w:pPr>
        <w:ind w:left="4320" w:hanging="360"/>
      </w:pPr>
      <w:rPr>
        <w:rFonts w:ascii="Wingdings" w:hAnsi="Wingdings" w:hint="default"/>
      </w:rPr>
    </w:lvl>
    <w:lvl w:ilvl="6" w:tplc="82846780" w:tentative="1">
      <w:start w:val="1"/>
      <w:numFmt w:val="bullet"/>
      <w:lvlText w:val=""/>
      <w:lvlJc w:val="left"/>
      <w:pPr>
        <w:ind w:left="5040" w:hanging="360"/>
      </w:pPr>
      <w:rPr>
        <w:rFonts w:ascii="Symbol" w:hAnsi="Symbol" w:hint="default"/>
      </w:rPr>
    </w:lvl>
    <w:lvl w:ilvl="7" w:tplc="20E8D8D8" w:tentative="1">
      <w:start w:val="1"/>
      <w:numFmt w:val="bullet"/>
      <w:lvlText w:val="o"/>
      <w:lvlJc w:val="left"/>
      <w:pPr>
        <w:ind w:left="5760" w:hanging="360"/>
      </w:pPr>
      <w:rPr>
        <w:rFonts w:ascii="Courier New" w:hAnsi="Courier New" w:cs="Courier New" w:hint="default"/>
      </w:rPr>
    </w:lvl>
    <w:lvl w:ilvl="8" w:tplc="77EE4AC2" w:tentative="1">
      <w:start w:val="1"/>
      <w:numFmt w:val="bullet"/>
      <w:lvlText w:val=""/>
      <w:lvlJc w:val="left"/>
      <w:pPr>
        <w:ind w:left="6480" w:hanging="360"/>
      </w:pPr>
      <w:rPr>
        <w:rFonts w:ascii="Wingdings" w:hAnsi="Wingdings" w:hint="default"/>
      </w:rPr>
    </w:lvl>
  </w:abstractNum>
  <w:abstractNum w:abstractNumId="26" w15:restartNumberingAfterBreak="0">
    <w:nsid w:val="75186627"/>
    <w:multiLevelType w:val="hybridMultilevel"/>
    <w:tmpl w:val="6CF2FDB0"/>
    <w:lvl w:ilvl="0" w:tplc="63E01B36">
      <w:start w:val="1"/>
      <w:numFmt w:val="bullet"/>
      <w:lvlText w:val=""/>
      <w:lvlJc w:val="left"/>
      <w:pPr>
        <w:ind w:left="720" w:hanging="360"/>
      </w:pPr>
      <w:rPr>
        <w:rFonts w:ascii="Symbol" w:hAnsi="Symbol" w:hint="default"/>
        <w:b/>
        <w:i w:val="0"/>
        <w:color w:val="06B0E3"/>
        <w:sz w:val="28"/>
      </w:rPr>
    </w:lvl>
    <w:lvl w:ilvl="1" w:tplc="4878AB56" w:tentative="1">
      <w:start w:val="1"/>
      <w:numFmt w:val="bullet"/>
      <w:lvlText w:val="o"/>
      <w:lvlJc w:val="left"/>
      <w:pPr>
        <w:ind w:left="1440" w:hanging="360"/>
      </w:pPr>
      <w:rPr>
        <w:rFonts w:ascii="Courier New" w:hAnsi="Courier New" w:cs="Courier New" w:hint="default"/>
      </w:rPr>
    </w:lvl>
    <w:lvl w:ilvl="2" w:tplc="77D24BE0" w:tentative="1">
      <w:start w:val="1"/>
      <w:numFmt w:val="bullet"/>
      <w:lvlText w:val=""/>
      <w:lvlJc w:val="left"/>
      <w:pPr>
        <w:ind w:left="2160" w:hanging="360"/>
      </w:pPr>
      <w:rPr>
        <w:rFonts w:ascii="Wingdings" w:hAnsi="Wingdings" w:hint="default"/>
      </w:rPr>
    </w:lvl>
    <w:lvl w:ilvl="3" w:tplc="57D4B3B6" w:tentative="1">
      <w:start w:val="1"/>
      <w:numFmt w:val="bullet"/>
      <w:lvlText w:val=""/>
      <w:lvlJc w:val="left"/>
      <w:pPr>
        <w:ind w:left="2880" w:hanging="360"/>
      </w:pPr>
      <w:rPr>
        <w:rFonts w:ascii="Symbol" w:hAnsi="Symbol" w:hint="default"/>
      </w:rPr>
    </w:lvl>
    <w:lvl w:ilvl="4" w:tplc="E5A0DA58" w:tentative="1">
      <w:start w:val="1"/>
      <w:numFmt w:val="bullet"/>
      <w:lvlText w:val="o"/>
      <w:lvlJc w:val="left"/>
      <w:pPr>
        <w:ind w:left="3600" w:hanging="360"/>
      </w:pPr>
      <w:rPr>
        <w:rFonts w:ascii="Courier New" w:hAnsi="Courier New" w:cs="Courier New" w:hint="default"/>
      </w:rPr>
    </w:lvl>
    <w:lvl w:ilvl="5" w:tplc="EE76D2F8" w:tentative="1">
      <w:start w:val="1"/>
      <w:numFmt w:val="bullet"/>
      <w:lvlText w:val=""/>
      <w:lvlJc w:val="left"/>
      <w:pPr>
        <w:ind w:left="4320" w:hanging="360"/>
      </w:pPr>
      <w:rPr>
        <w:rFonts w:ascii="Wingdings" w:hAnsi="Wingdings" w:hint="default"/>
      </w:rPr>
    </w:lvl>
    <w:lvl w:ilvl="6" w:tplc="1254A1FC" w:tentative="1">
      <w:start w:val="1"/>
      <w:numFmt w:val="bullet"/>
      <w:lvlText w:val=""/>
      <w:lvlJc w:val="left"/>
      <w:pPr>
        <w:ind w:left="5040" w:hanging="360"/>
      </w:pPr>
      <w:rPr>
        <w:rFonts w:ascii="Symbol" w:hAnsi="Symbol" w:hint="default"/>
      </w:rPr>
    </w:lvl>
    <w:lvl w:ilvl="7" w:tplc="F35EF38C" w:tentative="1">
      <w:start w:val="1"/>
      <w:numFmt w:val="bullet"/>
      <w:lvlText w:val="o"/>
      <w:lvlJc w:val="left"/>
      <w:pPr>
        <w:ind w:left="5760" w:hanging="360"/>
      </w:pPr>
      <w:rPr>
        <w:rFonts w:ascii="Courier New" w:hAnsi="Courier New" w:cs="Courier New" w:hint="default"/>
      </w:rPr>
    </w:lvl>
    <w:lvl w:ilvl="8" w:tplc="0A48CE98"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21"/>
  </w:num>
  <w:num w:numId="4">
    <w:abstractNumId w:val="21"/>
    <w:lvlOverride w:ilvl="0">
      <w:startOverride w:val="1"/>
    </w:lvlOverride>
  </w:num>
  <w:num w:numId="5">
    <w:abstractNumId w:val="21"/>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8"/>
  </w:num>
  <w:num w:numId="9">
    <w:abstractNumId w:val="12"/>
    <w:lvlOverride w:ilvl="0">
      <w:startOverride w:val="1"/>
    </w:lvlOverride>
  </w:num>
  <w:num w:numId="10">
    <w:abstractNumId w:val="22"/>
  </w:num>
  <w:num w:numId="11">
    <w:abstractNumId w:val="1"/>
  </w:num>
  <w:num w:numId="12">
    <w:abstractNumId w:val="9"/>
  </w:num>
  <w:num w:numId="13">
    <w:abstractNumId w:val="25"/>
  </w:num>
  <w:num w:numId="14">
    <w:abstractNumId w:val="11"/>
  </w:num>
  <w:num w:numId="15">
    <w:abstractNumId w:val="6"/>
  </w:num>
  <w:num w:numId="16">
    <w:abstractNumId w:val="4"/>
  </w:num>
  <w:num w:numId="17">
    <w:abstractNumId w:val="17"/>
  </w:num>
  <w:num w:numId="18">
    <w:abstractNumId w:val="16"/>
  </w:num>
  <w:num w:numId="19">
    <w:abstractNumId w:val="14"/>
  </w:num>
  <w:num w:numId="20">
    <w:abstractNumId w:val="7"/>
  </w:num>
  <w:num w:numId="21">
    <w:abstractNumId w:val="20"/>
  </w:num>
  <w:num w:numId="22">
    <w:abstractNumId w:val="26"/>
  </w:num>
  <w:num w:numId="23">
    <w:abstractNumId w:val="2"/>
  </w:num>
  <w:num w:numId="24">
    <w:abstractNumId w:val="5"/>
  </w:num>
  <w:num w:numId="25">
    <w:abstractNumId w:val="13"/>
  </w:num>
  <w:num w:numId="26">
    <w:abstractNumId w:val="0"/>
  </w:num>
  <w:num w:numId="27">
    <w:abstractNumId w:val="24"/>
  </w:num>
  <w:num w:numId="28">
    <w:abstractNumId w:val="10"/>
  </w:num>
  <w:num w:numId="29">
    <w:abstractNumId w:val="19"/>
  </w:num>
  <w:num w:numId="30">
    <w:abstractNumId w:val="3"/>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30"/>
    <w:rsid w:val="000178B1"/>
    <w:rsid w:val="00251830"/>
    <w:rsid w:val="00661D3C"/>
    <w:rsid w:val="0096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02338-51C0-4798-A3C4-D418B776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atentStyles>
  <w:style w:type="paragraph" w:default="1" w:styleId="Normal">
    <w:name w:val="Normal"/>
    <w:rsid w:val="004A352F"/>
    <w:pPr>
      <w:spacing w:after="160" w:line="259" w:lineRule="auto"/>
    </w:pPr>
    <w:rPr>
      <w:color w:val="595959"/>
      <w:szCs w:val="22"/>
    </w:rPr>
  </w:style>
  <w:style w:type="paragraph" w:styleId="Heading1">
    <w:name w:val="heading 1"/>
    <w:basedOn w:val="BodyText2"/>
    <w:next w:val="Normal"/>
    <w:link w:val="Heading1Char"/>
    <w:uiPriority w:val="9"/>
    <w:qFormat/>
    <w:rsid w:val="00E00FF6"/>
    <w:pPr>
      <w:spacing w:after="120"/>
      <w:ind w:left="0" w:right="0"/>
      <w:outlineLvl w:val="0"/>
    </w:pPr>
    <w:rPr>
      <w:color w:val="4884A2"/>
      <w:sz w:val="24"/>
    </w:rPr>
  </w:style>
  <w:style w:type="paragraph" w:styleId="Heading2">
    <w:name w:val="heading 2"/>
    <w:basedOn w:val="Normal"/>
    <w:next w:val="Normal"/>
    <w:link w:val="Heading2Char"/>
    <w:uiPriority w:val="9"/>
    <w:unhideWhenUsed/>
    <w:qFormat/>
    <w:rsid w:val="00F06BC9"/>
    <w:pPr>
      <w:spacing w:before="240" w:after="120"/>
      <w:outlineLvl w:val="1"/>
    </w:pPr>
    <w:rPr>
      <w:b/>
      <w:i/>
      <w:sz w:val="24"/>
    </w:rPr>
  </w:style>
  <w:style w:type="paragraph" w:styleId="Heading3">
    <w:name w:val="heading 3"/>
    <w:basedOn w:val="Normal"/>
    <w:next w:val="Normal"/>
    <w:link w:val="Heading3Char"/>
    <w:uiPriority w:val="9"/>
    <w:unhideWhenUsed/>
    <w:qFormat/>
    <w:rsid w:val="00F06BC9"/>
    <w:pPr>
      <w:spacing w:before="240" w:after="120"/>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0FF6"/>
    <w:rPr>
      <w:rFonts w:eastAsia="Times New Roman"/>
      <w:b/>
      <w:caps/>
      <w:color w:val="4884A2"/>
      <w:sz w:val="24"/>
    </w:rPr>
  </w:style>
  <w:style w:type="character" w:customStyle="1" w:styleId="Heading2Char">
    <w:name w:val="Heading 2 Char"/>
    <w:link w:val="Heading2"/>
    <w:uiPriority w:val="9"/>
    <w:rsid w:val="00F06BC9"/>
    <w:rPr>
      <w:b/>
      <w:i/>
      <w:color w:val="595959"/>
      <w:sz w:val="24"/>
      <w:szCs w:val="22"/>
    </w:rPr>
  </w:style>
  <w:style w:type="character" w:styleId="Strong">
    <w:name w:val="Strong"/>
    <w:aliases w:val="Subheading"/>
    <w:rsid w:val="000D733F"/>
    <w:rPr>
      <w:color w:val="BC5D58"/>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7201D3"/>
    <w:pPr>
      <w:spacing w:after="120" w:line="259" w:lineRule="auto"/>
      <w:ind w:left="0" w:right="0"/>
      <w:jc w:val="both"/>
    </w:pPr>
    <w:rPr>
      <w:rFonts w:cs="Arial"/>
      <w:b w:val="0"/>
      <w:caps w:val="0"/>
      <w:color w:val="595959"/>
      <w:sz w:val="22"/>
    </w:rPr>
  </w:style>
  <w:style w:type="character" w:customStyle="1" w:styleId="BodyTextChar">
    <w:name w:val="Body Text Char"/>
    <w:link w:val="BodyText"/>
    <w:rsid w:val="007201D3"/>
    <w:rPr>
      <w:rFonts w:eastAsia="Times New Roman" w:cs="Arial"/>
      <w:color w:val="595959"/>
      <w:sz w:val="22"/>
    </w:rPr>
  </w:style>
  <w:style w:type="paragraph" w:customStyle="1" w:styleId="H-Heading">
    <w:name w:val="H-Heading"/>
    <w:basedOn w:val="Normal"/>
    <w:link w:val="H-HeadingChar"/>
    <w:qFormat/>
    <w:rsid w:val="00E00FF6"/>
    <w:pPr>
      <w:pBdr>
        <w:bottom w:val="single" w:sz="8" w:space="1" w:color="4884A2"/>
      </w:pBdr>
      <w:spacing w:before="240" w:after="120"/>
    </w:pPr>
    <w:rPr>
      <w:b/>
      <w:caps/>
      <w:color w:val="E5874D"/>
      <w:sz w:val="24"/>
    </w:rPr>
  </w:style>
  <w:style w:type="character" w:customStyle="1" w:styleId="H-HeadingChar">
    <w:name w:val="H-Heading Char"/>
    <w:link w:val="H-Heading"/>
    <w:rsid w:val="00E00FF6"/>
    <w:rPr>
      <w:b/>
      <w:caps/>
      <w:color w:val="E5874D"/>
      <w:sz w:val="24"/>
      <w:szCs w:val="22"/>
    </w:rPr>
  </w:style>
  <w:style w:type="paragraph" w:styleId="Title">
    <w:name w:val="Title"/>
    <w:basedOn w:val="Normal"/>
    <w:next w:val="Normal"/>
    <w:link w:val="TitleChar"/>
    <w:uiPriority w:val="10"/>
    <w:qFormat/>
    <w:rsid w:val="00E00FF6"/>
    <w:pPr>
      <w:spacing w:line="240" w:lineRule="auto"/>
      <w:outlineLvl w:val="0"/>
    </w:pPr>
    <w:rPr>
      <w:rFonts w:cs="Arial"/>
      <w:b/>
      <w:noProof/>
      <w:color w:val="4884A2"/>
      <w:sz w:val="40"/>
    </w:rPr>
  </w:style>
  <w:style w:type="character" w:customStyle="1" w:styleId="TitleChar">
    <w:name w:val="Title Char"/>
    <w:link w:val="Title"/>
    <w:uiPriority w:val="10"/>
    <w:rsid w:val="00E00FF6"/>
    <w:rPr>
      <w:rFonts w:cs="Arial"/>
      <w:b/>
      <w:noProof/>
      <w:color w:val="4884A2"/>
      <w:sz w:val="40"/>
      <w:szCs w:val="22"/>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rsid w:val="0082527D"/>
    <w:pPr>
      <w:numPr>
        <w:numId w:val="1"/>
      </w:numPr>
      <w:spacing w:before="120"/>
    </w:pPr>
    <w:rPr>
      <w:color w:val="FFFFFF"/>
    </w:rPr>
  </w:style>
  <w:style w:type="character" w:customStyle="1" w:styleId="BulletlistHighlightChar">
    <w:name w:val="Bullet list Highlight Char"/>
    <w:link w:val="BulletlistHighlight"/>
    <w:rsid w:val="0082527D"/>
    <w:rPr>
      <w:rFonts w:ascii="Calibri" w:eastAsia="Times New Roman" w:hAnsi="Calibri" w:cs="Arial"/>
      <w:color w:val="FFFFFF"/>
      <w:sz w:val="20"/>
      <w:szCs w:val="20"/>
    </w:rPr>
  </w:style>
  <w:style w:type="paragraph" w:customStyle="1" w:styleId="BulletList">
    <w:name w:val="Bullet List"/>
    <w:basedOn w:val="BodyText"/>
    <w:link w:val="BulletListChar"/>
    <w:qFormat/>
    <w:rsid w:val="007201D3"/>
    <w:pPr>
      <w:numPr>
        <w:numId w:val="2"/>
      </w:numPr>
      <w:spacing w:before="120"/>
    </w:pPr>
  </w:style>
  <w:style w:type="character" w:customStyle="1" w:styleId="BulletListChar">
    <w:name w:val="Bullet List Char"/>
    <w:basedOn w:val="BodyTextChar"/>
    <w:link w:val="BulletList"/>
    <w:rsid w:val="007201D3"/>
    <w:rPr>
      <w:rFonts w:eastAsia="Times New Roman" w:cs="Arial"/>
      <w:color w:val="595959"/>
      <w:sz w:val="22"/>
    </w:rPr>
  </w:style>
  <w:style w:type="paragraph" w:customStyle="1" w:styleId="H-Text">
    <w:name w:val="H-Text"/>
    <w:basedOn w:val="Heading2"/>
    <w:link w:val="H-TextChar"/>
    <w:qFormat/>
    <w:rsid w:val="00281307"/>
    <w:pPr>
      <w:spacing w:before="120"/>
    </w:pPr>
    <w:rPr>
      <w:b w:val="0"/>
      <w:i w:val="0"/>
      <w:sz w:val="22"/>
    </w:rPr>
  </w:style>
  <w:style w:type="character" w:customStyle="1" w:styleId="Heading3Char">
    <w:name w:val="Heading 3 Char"/>
    <w:link w:val="Heading3"/>
    <w:uiPriority w:val="9"/>
    <w:rsid w:val="00F06BC9"/>
    <w:rPr>
      <w:i/>
      <w:color w:val="595959"/>
      <w:sz w:val="24"/>
      <w:szCs w:val="22"/>
    </w:rPr>
  </w:style>
  <w:style w:type="character" w:customStyle="1" w:styleId="H-TextChar">
    <w:name w:val="H-Text Char"/>
    <w:link w:val="H-Text"/>
    <w:rsid w:val="00281307"/>
    <w:rPr>
      <w:color w:val="595959"/>
      <w:sz w:val="22"/>
      <w:szCs w:val="22"/>
    </w:rPr>
  </w:style>
  <w:style w:type="paragraph" w:customStyle="1" w:styleId="T-Heading">
    <w:name w:val="T-Heading"/>
    <w:basedOn w:val="Normal"/>
    <w:link w:val="T-HeadingChar"/>
    <w:qFormat/>
    <w:rsid w:val="0084048C"/>
    <w:pPr>
      <w:spacing w:before="120" w:after="120" w:line="240" w:lineRule="auto"/>
      <w:jc w:val="center"/>
    </w:pPr>
    <w:rPr>
      <w:b/>
      <w:caps/>
      <w:color w:val="FFFFFF"/>
      <w:sz w:val="28"/>
      <w:szCs w:val="20"/>
    </w:rPr>
  </w:style>
  <w:style w:type="paragraph" w:customStyle="1" w:styleId="T-Text">
    <w:name w:val="T-Text"/>
    <w:basedOn w:val="Normal"/>
    <w:link w:val="T-TextChar"/>
    <w:qFormat/>
    <w:rsid w:val="007201D3"/>
    <w:pPr>
      <w:spacing w:before="120" w:after="120" w:line="240" w:lineRule="auto"/>
    </w:pPr>
    <w:rPr>
      <w:sz w:val="22"/>
      <w:szCs w:val="20"/>
    </w:rPr>
  </w:style>
  <w:style w:type="character" w:customStyle="1" w:styleId="T-HeadingChar">
    <w:name w:val="T-Heading Char"/>
    <w:link w:val="T-Heading"/>
    <w:rsid w:val="0084048C"/>
    <w:rPr>
      <w:b/>
      <w:caps/>
      <w:color w:val="FFFFFF"/>
      <w:sz w:val="28"/>
      <w:szCs w:val="20"/>
    </w:rPr>
  </w:style>
  <w:style w:type="paragraph" w:styleId="ListParagraph">
    <w:name w:val="List Paragraph"/>
    <w:basedOn w:val="Normal"/>
    <w:link w:val="ListParagraphChar"/>
    <w:uiPriority w:val="34"/>
    <w:qFormat/>
    <w:rsid w:val="004D0A73"/>
    <w:pPr>
      <w:ind w:left="720"/>
      <w:contextualSpacing/>
    </w:pPr>
  </w:style>
  <w:style w:type="character" w:customStyle="1" w:styleId="T-TextChar">
    <w:name w:val="T-Text Char"/>
    <w:link w:val="T-Text"/>
    <w:rsid w:val="007201D3"/>
    <w:rPr>
      <w:color w:val="595959"/>
      <w:sz w:val="22"/>
    </w:rPr>
  </w:style>
  <w:style w:type="paragraph" w:customStyle="1" w:styleId="T-BulletList">
    <w:name w:val="T-Bullet List"/>
    <w:basedOn w:val="ListParagraph"/>
    <w:link w:val="T-BulletListChar"/>
    <w:qFormat/>
    <w:rsid w:val="007201D3"/>
    <w:pPr>
      <w:numPr>
        <w:numId w:val="11"/>
      </w:numPr>
      <w:spacing w:before="120" w:after="120" w:line="240" w:lineRule="auto"/>
      <w:contextualSpacing w:val="0"/>
    </w:pPr>
    <w:rPr>
      <w:sz w:val="22"/>
      <w:szCs w:val="20"/>
    </w:rPr>
  </w:style>
  <w:style w:type="paragraph" w:customStyle="1" w:styleId="H-BulletList0">
    <w:name w:val="H-Bullet List"/>
    <w:basedOn w:val="T-BulletList"/>
    <w:link w:val="H-BulletListChar"/>
    <w:rsid w:val="007201D3"/>
    <w:pPr>
      <w:numPr>
        <w:numId w:val="3"/>
      </w:numPr>
    </w:pPr>
    <w:rPr>
      <w:szCs w:val="24"/>
    </w:rPr>
  </w:style>
  <w:style w:type="character" w:customStyle="1" w:styleId="ListParagraphChar">
    <w:name w:val="List Paragraph Char"/>
    <w:link w:val="ListParagraph"/>
    <w:uiPriority w:val="34"/>
    <w:rsid w:val="003774F7"/>
    <w:rPr>
      <w:rFonts w:ascii="Calibri" w:eastAsia="Calibri" w:hAnsi="Calibri" w:cs="Times New Roman"/>
    </w:rPr>
  </w:style>
  <w:style w:type="character" w:customStyle="1" w:styleId="T-BulletListChar">
    <w:name w:val="T-Bullet List Char"/>
    <w:link w:val="T-BulletList"/>
    <w:rsid w:val="007201D3"/>
    <w:rPr>
      <w:color w:val="595959"/>
      <w:sz w:val="22"/>
    </w:rPr>
  </w:style>
  <w:style w:type="paragraph" w:customStyle="1" w:styleId="LR-Heading">
    <w:name w:val="LR-Heading"/>
    <w:basedOn w:val="Textboxheading"/>
    <w:link w:val="LR-HeadingChar"/>
    <w:qFormat/>
    <w:rsid w:val="00E00FF6"/>
    <w:pPr>
      <w:spacing w:before="120" w:after="120"/>
    </w:pPr>
    <w:rPr>
      <w:color w:val="E5874D"/>
    </w:rPr>
  </w:style>
  <w:style w:type="character" w:customStyle="1" w:styleId="H-BulletListChar">
    <w:name w:val="H-Bullet List Char"/>
    <w:link w:val="H-BulletList0"/>
    <w:rsid w:val="007201D3"/>
    <w:rPr>
      <w:color w:val="595959"/>
      <w:sz w:val="22"/>
      <w:szCs w:val="24"/>
    </w:rPr>
  </w:style>
  <w:style w:type="paragraph" w:customStyle="1" w:styleId="LR-Text">
    <w:name w:val="LR-Text"/>
    <w:basedOn w:val="BulletlistHighlight"/>
    <w:link w:val="LR-TextChar"/>
    <w:qFormat/>
    <w:rsid w:val="007201D3"/>
    <w:pPr>
      <w:numPr>
        <w:numId w:val="0"/>
      </w:numPr>
    </w:pPr>
    <w:rPr>
      <w:color w:val="595959"/>
    </w:rPr>
  </w:style>
  <w:style w:type="character" w:customStyle="1" w:styleId="LR-HeadingChar">
    <w:name w:val="LR-Heading Char"/>
    <w:link w:val="LR-Heading"/>
    <w:rsid w:val="00E00FF6"/>
    <w:rPr>
      <w:rFonts w:eastAsia="Times New Roman"/>
      <w:b/>
      <w:caps/>
      <w:color w:val="E5874D"/>
      <w:sz w:val="28"/>
    </w:rPr>
  </w:style>
  <w:style w:type="paragraph" w:customStyle="1" w:styleId="LR-BulletList">
    <w:name w:val="LR-Bullet List"/>
    <w:basedOn w:val="BulletlistHighlight"/>
    <w:link w:val="LR-BulletListChar"/>
    <w:qFormat/>
    <w:rsid w:val="007201D3"/>
    <w:rPr>
      <w:color w:val="595959"/>
    </w:rPr>
  </w:style>
  <w:style w:type="character" w:customStyle="1" w:styleId="LR-TextChar">
    <w:name w:val="LR-Text Char"/>
    <w:link w:val="LR-Text"/>
    <w:rsid w:val="007201D3"/>
    <w:rPr>
      <w:rFonts w:eastAsia="Times New Roman" w:cs="Arial"/>
      <w:color w:val="595959"/>
      <w:sz w:val="22"/>
    </w:rPr>
  </w:style>
  <w:style w:type="paragraph" w:customStyle="1" w:styleId="FooterText">
    <w:name w:val="Footer Text"/>
    <w:basedOn w:val="Normal"/>
    <w:link w:val="FooterTextChar"/>
    <w:rsid w:val="003774F7"/>
    <w:rPr>
      <w:rFonts w:ascii="Verdana" w:hAnsi="Verdana"/>
    </w:rPr>
  </w:style>
  <w:style w:type="character" w:customStyle="1" w:styleId="LR-BulletListChar">
    <w:name w:val="LR-Bullet List Char"/>
    <w:link w:val="LR-BulletList"/>
    <w:rsid w:val="007201D3"/>
    <w:rPr>
      <w:rFonts w:eastAsia="Times New Roman" w:cs="Arial"/>
      <w:color w:val="595959"/>
      <w:sz w:val="22"/>
    </w:rPr>
  </w:style>
  <w:style w:type="paragraph" w:customStyle="1" w:styleId="Providedby">
    <w:name w:val="Provided by"/>
    <w:basedOn w:val="BodyText"/>
    <w:link w:val="ProvidedbyChar"/>
    <w:rsid w:val="003774F7"/>
    <w:pPr>
      <w:ind w:right="-10"/>
    </w:pPr>
    <w:rPr>
      <w:b/>
      <w:noProof/>
      <w:color w:val="BC5D58"/>
    </w:rPr>
  </w:style>
  <w:style w:type="character" w:customStyle="1" w:styleId="FooterTextChar">
    <w:name w:val="Footer Text Char"/>
    <w:link w:val="FooterText"/>
    <w:rsid w:val="003774F7"/>
    <w:rPr>
      <w:rFonts w:ascii="Verdana" w:eastAsia="Calibri" w:hAnsi="Verdana" w:cs="Times New Roman"/>
    </w:rPr>
  </w:style>
  <w:style w:type="character" w:customStyle="1" w:styleId="ProvidedbyChar">
    <w:name w:val="Provided by Char"/>
    <w:link w:val="Providedby"/>
    <w:rsid w:val="003774F7"/>
    <w:rPr>
      <w:rFonts w:ascii="Calibri" w:eastAsia="Times New Roman" w:hAnsi="Calibri" w:cs="Arial"/>
      <w:b/>
      <w:noProof/>
      <w:color w:val="BC5D58"/>
      <w:sz w:val="20"/>
      <w:szCs w:val="20"/>
    </w:rPr>
  </w:style>
  <w:style w:type="paragraph" w:customStyle="1" w:styleId="MergeField">
    <w:name w:val="Merge Field"/>
    <w:basedOn w:val="Providedby"/>
    <w:link w:val="MergeFieldChar"/>
    <w:qFormat/>
    <w:rsid w:val="00E00FF6"/>
    <w:rPr>
      <w:color w:val="4884A2"/>
    </w:rPr>
  </w:style>
  <w:style w:type="paragraph" w:customStyle="1" w:styleId="Numbering">
    <w:name w:val="Numbering"/>
    <w:basedOn w:val="BodyText"/>
    <w:link w:val="NumberingChar"/>
    <w:qFormat/>
    <w:rsid w:val="00F0224A"/>
    <w:pPr>
      <w:numPr>
        <w:numId w:val="10"/>
      </w:numPr>
      <w:spacing w:before="120"/>
    </w:pPr>
  </w:style>
  <w:style w:type="character" w:customStyle="1" w:styleId="MergeFieldChar">
    <w:name w:val="Merge Field Char"/>
    <w:link w:val="MergeField"/>
    <w:rsid w:val="00E00FF6"/>
    <w:rPr>
      <w:rFonts w:ascii="Calibri" w:eastAsia="Times New Roman" w:hAnsi="Calibri" w:cs="Arial"/>
      <w:b/>
      <w:noProof/>
      <w:color w:val="4884A2"/>
      <w:sz w:val="22"/>
      <w:szCs w:val="20"/>
    </w:rPr>
  </w:style>
  <w:style w:type="paragraph" w:customStyle="1" w:styleId="Disclaimer">
    <w:name w:val="Disclaimer"/>
    <w:basedOn w:val="FooterText"/>
    <w:link w:val="DisclaimerChar"/>
    <w:qFormat/>
    <w:rsid w:val="00947E11"/>
    <w:rPr>
      <w:color w:val="7F7F7F"/>
      <w:sz w:val="16"/>
    </w:rPr>
  </w:style>
  <w:style w:type="character" w:customStyle="1" w:styleId="NumberingChar">
    <w:name w:val="Numbering Char"/>
    <w:basedOn w:val="BodyTextChar"/>
    <w:link w:val="Numbering"/>
    <w:rsid w:val="00F0224A"/>
    <w:rPr>
      <w:rFonts w:eastAsia="Times New Roman" w:cs="Arial"/>
      <w:color w:val="595959"/>
      <w:sz w:val="22"/>
    </w:rPr>
  </w:style>
  <w:style w:type="paragraph" w:customStyle="1" w:styleId="Bullets">
    <w:name w:val="Bullets"/>
    <w:basedOn w:val="BodyText"/>
    <w:link w:val="BulletsChar"/>
    <w:rsid w:val="00E00FF6"/>
    <w:pPr>
      <w:numPr>
        <w:numId w:val="13"/>
      </w:numPr>
      <w:spacing w:before="120" w:after="240"/>
    </w:pPr>
  </w:style>
  <w:style w:type="character" w:customStyle="1" w:styleId="DisclaimerChar">
    <w:name w:val="Disclaimer Char"/>
    <w:link w:val="Disclaimer"/>
    <w:rsid w:val="00947E11"/>
    <w:rPr>
      <w:rFonts w:ascii="Verdana" w:eastAsia="Calibri" w:hAnsi="Verdana" w:cs="Times New Roman"/>
      <w:color w:val="7F7F7F"/>
      <w:sz w:val="16"/>
    </w:rPr>
  </w:style>
  <w:style w:type="character" w:customStyle="1" w:styleId="BulletsChar">
    <w:name w:val="Bullets Char"/>
    <w:link w:val="Bullets"/>
    <w:rsid w:val="00E00FF6"/>
    <w:rPr>
      <w:rFonts w:eastAsia="Times New Roman" w:cs="Arial"/>
      <w:color w:val="595959"/>
      <w:sz w:val="22"/>
    </w:rPr>
  </w:style>
  <w:style w:type="paragraph" w:customStyle="1" w:styleId="H-Bulletlist">
    <w:name w:val="H-Bullet list"/>
    <w:basedOn w:val="H-Text"/>
    <w:link w:val="H-BulletlistChar0"/>
    <w:qFormat/>
    <w:rsid w:val="00E00FF6"/>
    <w:pPr>
      <w:numPr>
        <w:numId w:val="12"/>
      </w:numPr>
      <w:spacing w:line="240" w:lineRule="auto"/>
      <w:ind w:left="273" w:hanging="187"/>
    </w:pPr>
  </w:style>
  <w:style w:type="character" w:customStyle="1" w:styleId="H-BulletlistChar0">
    <w:name w:val="H-Bullet list Char"/>
    <w:link w:val="H-Bulletlist"/>
    <w:rsid w:val="00E00FF6"/>
    <w:rPr>
      <w:color w:val="595959"/>
      <w:sz w:val="22"/>
      <w:szCs w:val="22"/>
    </w:rPr>
  </w:style>
  <w:style w:type="paragraph" w:customStyle="1" w:styleId="Style1">
    <w:name w:val="Style1"/>
    <w:basedOn w:val="Normal"/>
    <w:link w:val="Style1Char"/>
    <w:qFormat/>
    <w:rsid w:val="00F06BC9"/>
    <w:pPr>
      <w:pBdr>
        <w:bottom w:val="single" w:sz="18" w:space="1" w:color="4884A2"/>
      </w:pBdr>
      <w:spacing w:line="312" w:lineRule="auto"/>
    </w:pPr>
    <w:rPr>
      <w:b/>
      <w:i/>
      <w:color w:val="4884A2"/>
      <w:sz w:val="32"/>
      <w:szCs w:val="26"/>
    </w:rPr>
  </w:style>
  <w:style w:type="character" w:styleId="Hyperlink">
    <w:name w:val="Hyperlink"/>
    <w:uiPriority w:val="99"/>
    <w:unhideWhenUsed/>
    <w:rsid w:val="00591A93"/>
    <w:rPr>
      <w:color w:val="0563C1"/>
      <w:u w:val="single"/>
    </w:rPr>
  </w:style>
  <w:style w:type="character" w:customStyle="1" w:styleId="Style1Char">
    <w:name w:val="Style1 Char"/>
    <w:link w:val="Style1"/>
    <w:rsid w:val="00F06BC9"/>
    <w:rPr>
      <w:b/>
      <w:i/>
      <w:color w:val="4884A2"/>
      <w:sz w:val="32"/>
      <w:szCs w:val="26"/>
    </w:rPr>
  </w:style>
  <w:style w:type="character" w:styleId="FollowedHyperlink">
    <w:name w:val="FollowedHyperlink"/>
    <w:basedOn w:val="DefaultParagraphFont"/>
    <w:uiPriority w:val="99"/>
    <w:semiHidden/>
    <w:unhideWhenUsed/>
    <w:rsid w:val="00591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po.gov/fdsys/pkg/FR-2000-11-21/pdf/00-2976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l.gov/ebsa/pdf/rdgui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BA861-DAD3-44E5-8B93-59BD026E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Kopps</dc:creator>
  <cp:lastModifiedBy>Hillenbrand, Caitlin</cp:lastModifiedBy>
  <cp:revision>2</cp:revision>
  <dcterms:created xsi:type="dcterms:W3CDTF">2017-09-27T18:19:00Z</dcterms:created>
  <dcterms:modified xsi:type="dcterms:W3CDTF">2017-09-27T18:19:00Z</dcterms:modified>
</cp:coreProperties>
</file>